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80"/>
        <w:jc w:val="center"/>
        <w:rPr>
          <w:rFonts w:hint="eastAsia"/>
          <w:sz w:val="72"/>
          <w:szCs w:val="72"/>
          <w:highlight w:val="none"/>
          <w:lang w:val="en-US" w:eastAsia="zh-CN"/>
        </w:rPr>
      </w:pPr>
    </w:p>
    <w:p>
      <w:pPr>
        <w:ind w:right="480"/>
        <w:jc w:val="center"/>
        <w:rPr>
          <w:rFonts w:hint="eastAsia"/>
          <w:sz w:val="72"/>
          <w:szCs w:val="72"/>
          <w:highlight w:val="none"/>
          <w:lang w:val="en-US" w:eastAsia="zh-CN"/>
        </w:rPr>
      </w:pPr>
    </w:p>
    <w:p>
      <w:pPr>
        <w:ind w:right="480"/>
        <w:jc w:val="center"/>
        <w:rPr>
          <w:rFonts w:hint="eastAsia"/>
          <w:sz w:val="72"/>
          <w:szCs w:val="72"/>
          <w:highlight w:val="none"/>
          <w:lang w:val="en-US" w:eastAsia="zh-CN"/>
        </w:rPr>
      </w:pPr>
    </w:p>
    <w:p>
      <w:pPr>
        <w:ind w:right="480"/>
        <w:jc w:val="both"/>
        <w:rPr>
          <w:rFonts w:hint="eastAsia"/>
          <w:sz w:val="72"/>
          <w:szCs w:val="72"/>
          <w:highlight w:val="none"/>
          <w:lang w:val="en-US" w:eastAsia="zh-CN"/>
        </w:rPr>
      </w:pPr>
    </w:p>
    <w:p>
      <w:pPr>
        <w:ind w:right="480"/>
        <w:jc w:val="center"/>
        <w:rPr>
          <w:rFonts w:hint="eastAsia"/>
          <w:sz w:val="72"/>
          <w:szCs w:val="72"/>
          <w:highlight w:val="none"/>
          <w:lang w:val="en-US" w:eastAsia="zh-CN"/>
        </w:rPr>
      </w:pPr>
    </w:p>
    <w:p>
      <w:pPr>
        <w:ind w:right="480"/>
        <w:jc w:val="center"/>
        <w:rPr>
          <w:rFonts w:hint="eastAsia"/>
          <w:sz w:val="72"/>
          <w:szCs w:val="72"/>
          <w:highlight w:val="none"/>
          <w:lang w:val="en-US" w:eastAsia="zh-CN"/>
        </w:rPr>
      </w:pPr>
    </w:p>
    <w:p>
      <w:pPr>
        <w:ind w:right="480"/>
        <w:jc w:val="center"/>
        <w:rPr>
          <w:rFonts w:hint="eastAsia"/>
          <w:sz w:val="72"/>
          <w:szCs w:val="72"/>
          <w:highlight w:val="none"/>
          <w:lang w:val="en-US" w:eastAsia="zh-CN"/>
        </w:rPr>
      </w:pPr>
      <w:r>
        <w:rPr>
          <w:rFonts w:hint="eastAsia"/>
          <w:sz w:val="72"/>
          <w:szCs w:val="72"/>
          <w:highlight w:val="none"/>
          <w:lang w:val="en-US" w:eastAsia="zh-CN"/>
        </w:rPr>
        <w:t>U800紫外多参数水质检测仪</w:t>
      </w:r>
    </w:p>
    <w:p>
      <w:pPr>
        <w:ind w:right="480"/>
        <w:jc w:val="center"/>
      </w:pPr>
      <w:r>
        <w:rPr>
          <w:rFonts w:hint="eastAsia"/>
          <w:sz w:val="72"/>
          <w:szCs w:val="72"/>
          <w:highlight w:val="none"/>
          <w:lang w:val="en-US" w:eastAsia="zh-CN"/>
        </w:rPr>
        <w:t>使用说明书</w:t>
      </w:r>
      <w:bookmarkStart w:id="161" w:name="_GoBack"/>
      <w:bookmarkEnd w:id="161"/>
      <w:r>
        <w:rPr>
          <w:sz w:val="24"/>
          <w:highlight w:val="yellow"/>
        </w:rPr>
        <w:br w:type="page"/>
      </w:r>
      <w:r>
        <w:rPr>
          <w:rFonts w:eastAsia="黑体"/>
          <w:b/>
          <w:bCs/>
          <w:sz w:val="28"/>
          <w:szCs w:val="28"/>
          <w:lang w:val="zh-CN"/>
        </w:rPr>
        <w:t>目  录</w:t>
      </w:r>
      <w:r>
        <w:rPr>
          <w:rFonts w:eastAsia="黑体"/>
          <w:sz w:val="24"/>
        </w:rPr>
        <w:fldChar w:fldCharType="begin"/>
      </w:r>
      <w:r>
        <w:rPr>
          <w:rFonts w:eastAsia="黑体"/>
          <w:sz w:val="24"/>
        </w:rPr>
        <w:instrText xml:space="preserve">TOC \o "1-2" \h \u </w:instrText>
      </w:r>
      <w:r>
        <w:rPr>
          <w:rFonts w:eastAsia="黑体"/>
          <w:sz w:val="24"/>
        </w:rPr>
        <w:fldChar w:fldCharType="separate"/>
      </w:r>
    </w:p>
    <w:p>
      <w:pPr>
        <w:pStyle w:val="16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"_Toc517943598" </w:instrText>
      </w:r>
      <w:r>
        <w:fldChar w:fldCharType="separate"/>
      </w:r>
      <w:r>
        <w:rPr>
          <w:rStyle w:val="26"/>
          <w:rFonts w:hint="eastAsia"/>
        </w:rPr>
        <w:t>生物危害及安全提示</w:t>
      </w:r>
      <w:r>
        <w:tab/>
      </w:r>
      <w:r>
        <w:fldChar w:fldCharType="begin"/>
      </w:r>
      <w:r>
        <w:instrText xml:space="preserve"> PAGEREF _Toc517943598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"_Toc517943599" </w:instrText>
      </w:r>
      <w:r>
        <w:fldChar w:fldCharType="separate"/>
      </w:r>
      <w:r>
        <w:rPr>
          <w:rStyle w:val="26"/>
          <w:rFonts w:hint="eastAsia"/>
        </w:rPr>
        <w:t>第一章 仪器简介</w:t>
      </w:r>
      <w:r>
        <w:tab/>
      </w:r>
      <w:r>
        <w:fldChar w:fldCharType="begin"/>
      </w:r>
      <w:r>
        <w:instrText xml:space="preserve"> PAGEREF _Toc517943599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"_Toc517943600" </w:instrText>
      </w:r>
      <w:r>
        <w:fldChar w:fldCharType="separate"/>
      </w:r>
      <w:r>
        <w:rPr>
          <w:rStyle w:val="26"/>
          <w:rFonts w:hint="eastAsia"/>
        </w:rPr>
        <w:t>概述</w:t>
      </w:r>
      <w:r>
        <w:tab/>
      </w:r>
      <w:r>
        <w:fldChar w:fldCharType="begin"/>
      </w:r>
      <w:r>
        <w:instrText xml:space="preserve"> PAGEREF _Toc517943600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"_Toc517943601" </w:instrText>
      </w:r>
      <w:r>
        <w:fldChar w:fldCharType="separate"/>
      </w:r>
      <w:r>
        <w:rPr>
          <w:rStyle w:val="26"/>
        </w:rPr>
        <w:t>1.1</w:t>
      </w:r>
      <w:r>
        <w:rPr>
          <w:rStyle w:val="26"/>
          <w:rFonts w:hint="eastAsia"/>
        </w:rPr>
        <w:t>预期用途</w:t>
      </w:r>
      <w:r>
        <w:tab/>
      </w:r>
      <w:r>
        <w:fldChar w:fldCharType="begin"/>
      </w:r>
      <w:r>
        <w:instrText xml:space="preserve"> PAGEREF _Toc517943601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"_Toc517943602" </w:instrText>
      </w:r>
      <w:r>
        <w:fldChar w:fldCharType="separate"/>
      </w:r>
      <w:r>
        <w:rPr>
          <w:rStyle w:val="26"/>
        </w:rPr>
        <w:t xml:space="preserve">1.2 </w:t>
      </w:r>
      <w:r>
        <w:rPr>
          <w:rStyle w:val="26"/>
          <w:rFonts w:hint="eastAsia"/>
        </w:rPr>
        <w:t>结构组成</w:t>
      </w:r>
      <w:r>
        <w:tab/>
      </w:r>
      <w:r>
        <w:fldChar w:fldCharType="begin"/>
      </w:r>
      <w:r>
        <w:instrText xml:space="preserve"> PAGEREF _Toc517943602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"_Toc517943603" </w:instrText>
      </w:r>
      <w:r>
        <w:fldChar w:fldCharType="separate"/>
      </w:r>
      <w:r>
        <w:rPr>
          <w:rStyle w:val="26"/>
        </w:rPr>
        <w:t>1.3</w:t>
      </w:r>
      <w:r>
        <w:rPr>
          <w:rStyle w:val="26"/>
          <w:rFonts w:hint="eastAsia"/>
        </w:rPr>
        <w:t>工作原理</w:t>
      </w:r>
      <w:r>
        <w:tab/>
      </w:r>
      <w:r>
        <w:fldChar w:fldCharType="begin"/>
      </w:r>
      <w:r>
        <w:instrText xml:space="preserve"> PAGEREF _Toc517943603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"_Toc517943604" </w:instrText>
      </w:r>
      <w:r>
        <w:fldChar w:fldCharType="separate"/>
      </w:r>
      <w:r>
        <w:rPr>
          <w:rStyle w:val="26"/>
        </w:rPr>
        <w:t>1.4</w:t>
      </w:r>
      <w:r>
        <w:rPr>
          <w:rStyle w:val="26"/>
          <w:rFonts w:hint="eastAsia"/>
        </w:rPr>
        <w:t>仪器的基本参数</w:t>
      </w:r>
      <w:r>
        <w:tab/>
      </w:r>
      <w:r>
        <w:fldChar w:fldCharType="begin"/>
      </w:r>
      <w:r>
        <w:instrText xml:space="preserve"> PAGEREF _Toc517943604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"_Toc517943605" </w:instrText>
      </w:r>
      <w:r>
        <w:fldChar w:fldCharType="separate"/>
      </w:r>
      <w:r>
        <w:rPr>
          <w:rStyle w:val="26"/>
        </w:rPr>
        <w:t xml:space="preserve">1.5 </w:t>
      </w:r>
      <w:r>
        <w:rPr>
          <w:rStyle w:val="26"/>
          <w:rFonts w:hint="eastAsia"/>
        </w:rPr>
        <w:t>正常工作条件和储存条件</w:t>
      </w:r>
      <w:r>
        <w:tab/>
      </w:r>
      <w:r>
        <w:fldChar w:fldCharType="begin"/>
      </w:r>
      <w:r>
        <w:instrText xml:space="preserve"> PAGEREF _Toc517943605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"_Toc517943606" </w:instrText>
      </w:r>
      <w:r>
        <w:fldChar w:fldCharType="separate"/>
      </w:r>
      <w:r>
        <w:rPr>
          <w:rStyle w:val="26"/>
        </w:rPr>
        <w:t xml:space="preserve">1.6 </w:t>
      </w:r>
      <w:r>
        <w:rPr>
          <w:rStyle w:val="26"/>
          <w:rFonts w:hint="eastAsia"/>
        </w:rPr>
        <w:t>外观</w:t>
      </w:r>
      <w:r>
        <w:tab/>
      </w:r>
      <w:r>
        <w:fldChar w:fldCharType="begin"/>
      </w:r>
      <w:r>
        <w:instrText xml:space="preserve"> PAGEREF _Toc517943606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"_Toc517943607" </w:instrText>
      </w:r>
      <w:r>
        <w:fldChar w:fldCharType="separate"/>
      </w:r>
      <w:r>
        <w:rPr>
          <w:rStyle w:val="26"/>
        </w:rPr>
        <w:t xml:space="preserve">1.7 </w:t>
      </w:r>
      <w:r>
        <w:rPr>
          <w:rStyle w:val="26"/>
          <w:rFonts w:hint="eastAsia"/>
        </w:rPr>
        <w:t>波长准确度</w:t>
      </w:r>
      <w:r>
        <w:tab/>
      </w:r>
      <w:r>
        <w:fldChar w:fldCharType="begin"/>
      </w:r>
      <w:r>
        <w:instrText xml:space="preserve"> PAGEREF _Toc517943607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"_Toc517943608" </w:instrText>
      </w:r>
      <w:r>
        <w:fldChar w:fldCharType="separate"/>
      </w:r>
      <w:r>
        <w:rPr>
          <w:rStyle w:val="26"/>
        </w:rPr>
        <w:t xml:space="preserve">1.8 </w:t>
      </w:r>
      <w:r>
        <w:rPr>
          <w:rStyle w:val="26"/>
          <w:rFonts w:hint="eastAsia"/>
        </w:rPr>
        <w:t>吸光度准确度</w:t>
      </w:r>
      <w:r>
        <w:tab/>
      </w:r>
      <w:r>
        <w:fldChar w:fldCharType="begin"/>
      </w:r>
      <w:r>
        <w:instrText xml:space="preserve"> PAGEREF _Toc517943608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"_Toc517943609" </w:instrText>
      </w:r>
      <w:r>
        <w:fldChar w:fldCharType="separate"/>
      </w:r>
      <w:r>
        <w:rPr>
          <w:rStyle w:val="26"/>
        </w:rPr>
        <w:t>1.9</w:t>
      </w:r>
      <w:r>
        <w:rPr>
          <w:rStyle w:val="26"/>
          <w:rFonts w:hint="eastAsia"/>
        </w:rPr>
        <w:t>线性误差</w:t>
      </w:r>
      <w:r>
        <w:tab/>
      </w:r>
      <w:r>
        <w:fldChar w:fldCharType="begin"/>
      </w:r>
      <w:r>
        <w:instrText xml:space="preserve"> PAGEREF _Toc517943609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"_Toc517943610" </w:instrText>
      </w:r>
      <w:r>
        <w:fldChar w:fldCharType="separate"/>
      </w:r>
      <w:r>
        <w:rPr>
          <w:rStyle w:val="26"/>
        </w:rPr>
        <w:t>1.10</w:t>
      </w:r>
      <w:r>
        <w:rPr>
          <w:rStyle w:val="26"/>
          <w:rFonts w:hint="eastAsia"/>
        </w:rPr>
        <w:t>吸光度重复性</w:t>
      </w:r>
      <w:r>
        <w:tab/>
      </w:r>
      <w:r>
        <w:fldChar w:fldCharType="begin"/>
      </w:r>
      <w:r>
        <w:instrText xml:space="preserve"> PAGEREF _Toc517943610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"_Toc517943611" </w:instrText>
      </w:r>
      <w:r>
        <w:fldChar w:fldCharType="separate"/>
      </w:r>
      <w:r>
        <w:rPr>
          <w:rStyle w:val="26"/>
        </w:rPr>
        <w:t xml:space="preserve">1.11 </w:t>
      </w:r>
      <w:r>
        <w:rPr>
          <w:rStyle w:val="26"/>
          <w:rFonts w:hint="eastAsia"/>
        </w:rPr>
        <w:t>吸光度稳定性</w:t>
      </w:r>
      <w:r>
        <w:tab/>
      </w:r>
      <w:r>
        <w:fldChar w:fldCharType="begin"/>
      </w:r>
      <w:r>
        <w:instrText xml:space="preserve"> PAGEREF _Toc517943611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"_Toc517943612" </w:instrText>
      </w:r>
      <w:r>
        <w:fldChar w:fldCharType="separate"/>
      </w:r>
      <w:r>
        <w:rPr>
          <w:rStyle w:val="26"/>
        </w:rPr>
        <w:t>1.12</w:t>
      </w:r>
      <w:r>
        <w:rPr>
          <w:rStyle w:val="26"/>
          <w:rFonts w:hint="eastAsia"/>
        </w:rPr>
        <w:t>主要功能</w:t>
      </w:r>
      <w:r>
        <w:tab/>
      </w:r>
      <w:r>
        <w:fldChar w:fldCharType="begin"/>
      </w:r>
      <w:r>
        <w:instrText xml:space="preserve"> PAGEREF _Toc517943612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"_Toc517943613" </w:instrText>
      </w:r>
      <w:r>
        <w:fldChar w:fldCharType="separate"/>
      </w:r>
      <w:r>
        <w:rPr>
          <w:rStyle w:val="26"/>
        </w:rPr>
        <w:t xml:space="preserve">1.13 </w:t>
      </w:r>
      <w:r>
        <w:rPr>
          <w:rStyle w:val="26"/>
          <w:rFonts w:hint="eastAsia"/>
        </w:rPr>
        <w:t>安全要求</w:t>
      </w:r>
      <w:r>
        <w:tab/>
      </w:r>
      <w:r>
        <w:fldChar w:fldCharType="begin"/>
      </w:r>
      <w:r>
        <w:instrText xml:space="preserve"> PAGEREF _Toc517943613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"_Toc517943614" </w:instrText>
      </w:r>
      <w:r>
        <w:fldChar w:fldCharType="separate"/>
      </w:r>
      <w:r>
        <w:rPr>
          <w:rStyle w:val="26"/>
        </w:rPr>
        <w:t>1.14</w:t>
      </w:r>
      <w:r>
        <w:rPr>
          <w:rStyle w:val="26"/>
          <w:rFonts w:hint="eastAsia"/>
        </w:rPr>
        <w:t>电磁兼容性要求</w:t>
      </w:r>
      <w:r>
        <w:tab/>
      </w:r>
      <w:r>
        <w:fldChar w:fldCharType="begin"/>
      </w:r>
      <w:r>
        <w:instrText xml:space="preserve"> PAGEREF _Toc517943614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"_Toc517943615" </w:instrText>
      </w:r>
      <w:r>
        <w:fldChar w:fldCharType="separate"/>
      </w:r>
      <w:r>
        <w:rPr>
          <w:rStyle w:val="26"/>
        </w:rPr>
        <w:t>1.15</w:t>
      </w:r>
      <w:r>
        <w:rPr>
          <w:rStyle w:val="26"/>
          <w:rFonts w:hint="eastAsia"/>
        </w:rPr>
        <w:t>生产日期</w:t>
      </w:r>
      <w:r>
        <w:tab/>
      </w:r>
      <w:r>
        <w:fldChar w:fldCharType="begin"/>
      </w:r>
      <w:r>
        <w:instrText xml:space="preserve"> PAGEREF _Toc517943615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"_Toc517943616" </w:instrText>
      </w:r>
      <w:r>
        <w:fldChar w:fldCharType="separate"/>
      </w:r>
      <w:r>
        <w:rPr>
          <w:rStyle w:val="26"/>
        </w:rPr>
        <w:t>1.16</w:t>
      </w:r>
      <w:r>
        <w:rPr>
          <w:rStyle w:val="26"/>
          <w:rFonts w:hint="eastAsia"/>
        </w:rPr>
        <w:t>使用期限</w:t>
      </w:r>
      <w:r>
        <w:tab/>
      </w:r>
      <w:r>
        <w:fldChar w:fldCharType="begin"/>
      </w:r>
      <w:r>
        <w:instrText xml:space="preserve"> PAGEREF _Toc517943616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"_Toc517943617" </w:instrText>
      </w:r>
      <w:r>
        <w:fldChar w:fldCharType="separate"/>
      </w:r>
      <w:r>
        <w:rPr>
          <w:rStyle w:val="26"/>
          <w:rFonts w:hint="eastAsia"/>
        </w:rPr>
        <w:t>第二章</w:t>
      </w:r>
      <w:r>
        <w:rPr>
          <w:rStyle w:val="26"/>
        </w:rPr>
        <w:t xml:space="preserve">  </w:t>
      </w:r>
      <w:r>
        <w:rPr>
          <w:rStyle w:val="26"/>
          <w:rFonts w:hint="eastAsia"/>
        </w:rPr>
        <w:t>仪器安装</w:t>
      </w:r>
      <w:r>
        <w:tab/>
      </w:r>
      <w:r>
        <w:fldChar w:fldCharType="begin"/>
      </w:r>
      <w:r>
        <w:instrText xml:space="preserve"> PAGEREF _Toc517943617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"_Toc517943618" </w:instrText>
      </w:r>
      <w:r>
        <w:fldChar w:fldCharType="separate"/>
      </w:r>
      <w:r>
        <w:rPr>
          <w:rStyle w:val="26"/>
        </w:rPr>
        <w:t xml:space="preserve">2.1 </w:t>
      </w:r>
      <w:r>
        <w:rPr>
          <w:rStyle w:val="26"/>
          <w:rFonts w:hint="eastAsia"/>
        </w:rPr>
        <w:t>仪器拆封</w:t>
      </w:r>
      <w:r>
        <w:tab/>
      </w:r>
      <w:r>
        <w:fldChar w:fldCharType="begin"/>
      </w:r>
      <w:r>
        <w:instrText xml:space="preserve"> PAGEREF _Toc517943618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"_Toc517943619" </w:instrText>
      </w:r>
      <w:r>
        <w:fldChar w:fldCharType="separate"/>
      </w:r>
      <w:r>
        <w:rPr>
          <w:rStyle w:val="26"/>
        </w:rPr>
        <w:t xml:space="preserve">2.2 </w:t>
      </w:r>
      <w:r>
        <w:rPr>
          <w:rStyle w:val="26"/>
          <w:rFonts w:hint="eastAsia" w:hAnsi="宋体"/>
        </w:rPr>
        <w:t>环境要求</w:t>
      </w:r>
      <w:r>
        <w:tab/>
      </w:r>
      <w:r>
        <w:fldChar w:fldCharType="begin"/>
      </w:r>
      <w:r>
        <w:instrText xml:space="preserve"> PAGEREF _Toc517943619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"_Toc517943620" </w:instrText>
      </w:r>
      <w:r>
        <w:fldChar w:fldCharType="separate"/>
      </w:r>
      <w:r>
        <w:rPr>
          <w:rStyle w:val="26"/>
        </w:rPr>
        <w:t>2.3</w:t>
      </w:r>
      <w:r>
        <w:rPr>
          <w:rStyle w:val="26"/>
          <w:rFonts w:hint="eastAsia" w:hAnsi="宋体"/>
        </w:rPr>
        <w:t>开始安装</w:t>
      </w:r>
      <w:r>
        <w:tab/>
      </w:r>
      <w:r>
        <w:fldChar w:fldCharType="begin"/>
      </w:r>
      <w:r>
        <w:instrText xml:space="preserve"> PAGEREF _Toc517943620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"_Toc517943621" </w:instrText>
      </w:r>
      <w:r>
        <w:fldChar w:fldCharType="separate"/>
      </w:r>
      <w:r>
        <w:rPr>
          <w:rStyle w:val="26"/>
        </w:rPr>
        <w:t xml:space="preserve">2.4  </w:t>
      </w:r>
      <w:r>
        <w:rPr>
          <w:rStyle w:val="26"/>
          <w:rFonts w:hint="eastAsia" w:hAnsi="宋体"/>
        </w:rPr>
        <w:t>使用前的准备与检查</w:t>
      </w:r>
      <w:r>
        <w:tab/>
      </w:r>
      <w:r>
        <w:fldChar w:fldCharType="begin"/>
      </w:r>
      <w:r>
        <w:instrText xml:space="preserve"> PAGEREF _Toc517943621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"_Toc517943622" </w:instrText>
      </w:r>
      <w:r>
        <w:fldChar w:fldCharType="separate"/>
      </w:r>
      <w:r>
        <w:rPr>
          <w:rStyle w:val="26"/>
          <w:rFonts w:hint="eastAsia"/>
        </w:rPr>
        <w:t>第三章 使用与操作</w:t>
      </w:r>
      <w:r>
        <w:tab/>
      </w:r>
      <w:r>
        <w:fldChar w:fldCharType="begin"/>
      </w:r>
      <w:r>
        <w:instrText xml:space="preserve"> PAGEREF _Toc517943622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"_Toc517943623" </w:instrText>
      </w:r>
      <w:r>
        <w:fldChar w:fldCharType="separate"/>
      </w:r>
      <w:r>
        <w:rPr>
          <w:rStyle w:val="26"/>
        </w:rPr>
        <w:t>3.1</w:t>
      </w:r>
      <w:r>
        <w:rPr>
          <w:rStyle w:val="26"/>
          <w:rFonts w:hint="eastAsia"/>
        </w:rPr>
        <w:t>启动仪器：</w:t>
      </w:r>
      <w:r>
        <w:tab/>
      </w:r>
      <w:r>
        <w:fldChar w:fldCharType="begin"/>
      </w:r>
      <w:r>
        <w:instrText xml:space="preserve"> PAGEREF _Toc517943623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"_Toc517943624" </w:instrText>
      </w:r>
      <w:r>
        <w:fldChar w:fldCharType="separate"/>
      </w:r>
      <w:r>
        <w:rPr>
          <w:rStyle w:val="26"/>
        </w:rPr>
        <w:t xml:space="preserve">3.2 </w:t>
      </w:r>
      <w:r>
        <w:rPr>
          <w:rStyle w:val="26"/>
          <w:rFonts w:hint="eastAsia"/>
        </w:rPr>
        <w:t>测量：</w:t>
      </w:r>
      <w:r>
        <w:tab/>
      </w:r>
      <w:r>
        <w:fldChar w:fldCharType="begin"/>
      </w:r>
      <w:r>
        <w:instrText xml:space="preserve"> PAGEREF _Toc517943624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"_Toc517943625" </w:instrText>
      </w:r>
      <w:r>
        <w:fldChar w:fldCharType="separate"/>
      </w:r>
      <w:r>
        <w:rPr>
          <w:rStyle w:val="26"/>
        </w:rPr>
        <w:t xml:space="preserve">3.3 </w:t>
      </w:r>
      <w:r>
        <w:rPr>
          <w:rStyle w:val="26"/>
          <w:rFonts w:hint="eastAsia"/>
        </w:rPr>
        <w:t>历史：</w:t>
      </w:r>
      <w:r>
        <w:tab/>
      </w:r>
      <w:r>
        <w:fldChar w:fldCharType="begin"/>
      </w:r>
      <w:r>
        <w:instrText xml:space="preserve"> PAGEREF _Toc517943625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"_Toc517943626" </w:instrText>
      </w:r>
      <w:r>
        <w:fldChar w:fldCharType="separate"/>
      </w:r>
      <w:r>
        <w:rPr>
          <w:rStyle w:val="26"/>
        </w:rPr>
        <w:t xml:space="preserve">3.4 </w:t>
      </w:r>
      <w:r>
        <w:rPr>
          <w:rStyle w:val="26"/>
          <w:rFonts w:hint="eastAsia"/>
        </w:rPr>
        <w:t>分析：</w:t>
      </w:r>
      <w:r>
        <w:tab/>
      </w:r>
      <w:r>
        <w:fldChar w:fldCharType="begin"/>
      </w:r>
      <w:r>
        <w:instrText xml:space="preserve"> PAGEREF _Toc517943626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"_Toc517943627" </w:instrText>
      </w:r>
      <w:r>
        <w:fldChar w:fldCharType="separate"/>
      </w:r>
      <w:r>
        <w:rPr>
          <w:rStyle w:val="26"/>
        </w:rPr>
        <w:t xml:space="preserve">3.5 </w:t>
      </w:r>
      <w:r>
        <w:rPr>
          <w:rStyle w:val="26"/>
          <w:rFonts w:hint="eastAsia"/>
        </w:rPr>
        <w:t>设置：</w:t>
      </w:r>
      <w:r>
        <w:tab/>
      </w:r>
      <w:r>
        <w:fldChar w:fldCharType="begin"/>
      </w:r>
      <w:r>
        <w:instrText xml:space="preserve"> PAGEREF _Toc517943627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"_Toc517943628" </w:instrText>
      </w:r>
      <w:r>
        <w:fldChar w:fldCharType="separate"/>
      </w:r>
      <w:r>
        <w:rPr>
          <w:rStyle w:val="26"/>
        </w:rPr>
        <w:t xml:space="preserve">3.6 </w:t>
      </w:r>
      <w:r>
        <w:rPr>
          <w:rStyle w:val="26"/>
          <w:rFonts w:hint="eastAsia"/>
        </w:rPr>
        <w:t>帮助：</w:t>
      </w:r>
      <w:r>
        <w:tab/>
      </w:r>
      <w:r>
        <w:fldChar w:fldCharType="begin"/>
      </w:r>
      <w:r>
        <w:instrText xml:space="preserve"> PAGEREF _Toc517943628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"_Toc517943629" </w:instrText>
      </w:r>
      <w:r>
        <w:fldChar w:fldCharType="separate"/>
      </w:r>
      <w:r>
        <w:rPr>
          <w:rStyle w:val="26"/>
          <w:rFonts w:hint="eastAsia"/>
        </w:rPr>
        <w:t>第四章 保养与维修</w:t>
      </w:r>
      <w:r>
        <w:tab/>
      </w:r>
      <w:r>
        <w:fldChar w:fldCharType="begin"/>
      </w:r>
      <w:r>
        <w:instrText xml:space="preserve"> PAGEREF _Toc517943629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"_Toc517943630" </w:instrText>
      </w:r>
      <w:r>
        <w:fldChar w:fldCharType="separate"/>
      </w:r>
      <w:r>
        <w:rPr>
          <w:rStyle w:val="26"/>
        </w:rPr>
        <w:t>4.1</w:t>
      </w:r>
      <w:r>
        <w:rPr>
          <w:rStyle w:val="26"/>
          <w:rFonts w:hint="eastAsia"/>
        </w:rPr>
        <w:t>仪器清洁</w:t>
      </w:r>
      <w:r>
        <w:tab/>
      </w:r>
      <w:r>
        <w:fldChar w:fldCharType="begin"/>
      </w:r>
      <w:r>
        <w:instrText xml:space="preserve"> PAGEREF _Toc517943630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"_Toc517943631" </w:instrText>
      </w:r>
      <w:r>
        <w:fldChar w:fldCharType="separate"/>
      </w:r>
      <w:r>
        <w:rPr>
          <w:rStyle w:val="26"/>
        </w:rPr>
        <w:t>4.2</w:t>
      </w:r>
      <w:r>
        <w:rPr>
          <w:rStyle w:val="26"/>
          <w:rFonts w:hint="eastAsia"/>
        </w:rPr>
        <w:t>管状熔断体的更换</w:t>
      </w:r>
      <w:r>
        <w:tab/>
      </w:r>
      <w:r>
        <w:fldChar w:fldCharType="begin"/>
      </w:r>
      <w:r>
        <w:instrText xml:space="preserve"> PAGEREF _Toc517943631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"_Toc517943632" </w:instrText>
      </w:r>
      <w:r>
        <w:fldChar w:fldCharType="separate"/>
      </w:r>
      <w:r>
        <w:rPr>
          <w:rStyle w:val="26"/>
        </w:rPr>
        <w:t>4.3</w:t>
      </w:r>
      <w:r>
        <w:rPr>
          <w:rStyle w:val="26"/>
          <w:rFonts w:hint="eastAsia"/>
        </w:rPr>
        <w:t>　故障与排除</w:t>
      </w:r>
      <w:r>
        <w:tab/>
      </w:r>
      <w:r>
        <w:fldChar w:fldCharType="begin"/>
      </w:r>
      <w:r>
        <w:instrText xml:space="preserve"> PAGEREF _Toc517943632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"_Toc517943633" </w:instrText>
      </w:r>
      <w:r>
        <w:fldChar w:fldCharType="separate"/>
      </w:r>
      <w:r>
        <w:rPr>
          <w:rStyle w:val="26"/>
          <w:rFonts w:hint="eastAsia"/>
        </w:rPr>
        <w:t>第五章仪器的校准标定</w:t>
      </w:r>
      <w:r>
        <w:tab/>
      </w:r>
      <w:r>
        <w:fldChar w:fldCharType="begin"/>
      </w:r>
      <w:r>
        <w:instrText xml:space="preserve"> PAGEREF _Toc517943633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"_Toc517943634" </w:instrText>
      </w:r>
      <w:r>
        <w:fldChar w:fldCharType="separate"/>
      </w:r>
      <w:r>
        <w:rPr>
          <w:rStyle w:val="26"/>
          <w:rFonts w:hint="eastAsia"/>
        </w:rPr>
        <w:t>第六章运输与储存</w:t>
      </w:r>
      <w:r>
        <w:tab/>
      </w:r>
      <w:r>
        <w:fldChar w:fldCharType="begin"/>
      </w:r>
      <w:r>
        <w:instrText xml:space="preserve"> PAGEREF _Toc517943634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"_Toc517943635" </w:instrText>
      </w:r>
      <w:r>
        <w:fldChar w:fldCharType="separate"/>
      </w:r>
      <w:r>
        <w:rPr>
          <w:rStyle w:val="26"/>
        </w:rPr>
        <w:t>6.1</w:t>
      </w:r>
      <w:r>
        <w:rPr>
          <w:rStyle w:val="26"/>
          <w:rFonts w:hint="eastAsia"/>
        </w:rPr>
        <w:t>运输</w:t>
      </w:r>
      <w:r>
        <w:tab/>
      </w:r>
      <w:r>
        <w:fldChar w:fldCharType="begin"/>
      </w:r>
      <w:r>
        <w:instrText xml:space="preserve"> PAGEREF _Toc517943635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"_Toc517943636" </w:instrText>
      </w:r>
      <w:r>
        <w:fldChar w:fldCharType="separate"/>
      </w:r>
      <w:r>
        <w:rPr>
          <w:rStyle w:val="26"/>
        </w:rPr>
        <w:t>6.2</w:t>
      </w:r>
      <w:r>
        <w:rPr>
          <w:rStyle w:val="26"/>
          <w:rFonts w:hint="eastAsia"/>
        </w:rPr>
        <w:t>贮存</w:t>
      </w:r>
      <w:r>
        <w:tab/>
      </w:r>
      <w:r>
        <w:fldChar w:fldCharType="begin"/>
      </w:r>
      <w:r>
        <w:instrText xml:space="preserve"> PAGEREF _Toc517943636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9800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"_Toc517943637" </w:instrText>
      </w:r>
      <w:r>
        <w:fldChar w:fldCharType="separate"/>
      </w:r>
      <w:r>
        <w:rPr>
          <w:rStyle w:val="26"/>
          <w:rFonts w:hint="eastAsia"/>
        </w:rPr>
        <w:t>质量承诺</w:t>
      </w:r>
      <w:r>
        <w:tab/>
      </w:r>
      <w:r>
        <w:fldChar w:fldCharType="begin"/>
      </w:r>
      <w:r>
        <w:instrText xml:space="preserve"> PAGEREF _Toc517943637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16"/>
        <w:tabs>
          <w:tab w:val="right" w:leader="dot" w:pos="9810"/>
        </w:tabs>
        <w:rPr>
          <w:rFonts w:eastAsia="黑体"/>
          <w:sz w:val="32"/>
        </w:rPr>
        <w:sectPr>
          <w:footerReference r:id="rId5" w:type="first"/>
          <w:headerReference r:id="rId3" w:type="default"/>
          <w:footerReference r:id="rId4" w:type="default"/>
          <w:pgSz w:w="11907" w:h="16839"/>
          <w:pgMar w:top="1202" w:right="799" w:bottom="1202" w:left="1298" w:header="851" w:footer="811" w:gutter="0"/>
          <w:pgNumType w:start="1"/>
          <w:cols w:space="720" w:num="1"/>
          <w:titlePg/>
          <w:docGrid w:type="lines" w:linePitch="312" w:charSpace="0"/>
        </w:sectPr>
      </w:pPr>
      <w:r>
        <w:rPr>
          <w:rFonts w:eastAsia="黑体"/>
        </w:rPr>
        <w:fldChar w:fldCharType="end"/>
      </w:r>
      <w:bookmarkStart w:id="0" w:name="_Toc349807283"/>
    </w:p>
    <w:p>
      <w:pPr>
        <w:pStyle w:val="2"/>
        <w:jc w:val="center"/>
      </w:pPr>
      <w:bookmarkStart w:id="1" w:name="_Toc4450"/>
      <w:bookmarkStart w:id="2" w:name="_Toc517943598"/>
      <w:bookmarkStart w:id="3" w:name="_Toc15826"/>
      <w:r>
        <w:t>生物危害及安全提示</w:t>
      </w:r>
      <w:bookmarkEnd w:id="1"/>
      <w:bookmarkEnd w:id="2"/>
      <w:bookmarkEnd w:id="3"/>
    </w:p>
    <w:p>
      <w:pPr>
        <w:spacing w:beforeLines="50" w:afterLines="50" w:line="360" w:lineRule="exact"/>
        <w:ind w:left="479" w:leftChars="228"/>
        <w:rPr>
          <w:color w:val="000000"/>
          <w:szCs w:val="21"/>
        </w:rPr>
      </w:pPr>
      <w:r>
        <w:rPr>
          <w:rFonts w:hint="eastAsia"/>
          <w:iCs/>
          <w:color w:val="000000"/>
          <w:szCs w:val="21"/>
        </w:rPr>
        <w:t>HM-U800紫外多参数水质分析仪</w:t>
      </w:r>
      <w:r>
        <w:rPr>
          <w:rFonts w:hAnsi="宋体"/>
          <w:color w:val="000000"/>
          <w:szCs w:val="21"/>
        </w:rPr>
        <w:t>是</w:t>
      </w:r>
      <w:r>
        <w:rPr>
          <w:rFonts w:hint="eastAsia" w:hAnsi="宋体"/>
          <w:color w:val="000000"/>
          <w:szCs w:val="21"/>
        </w:rPr>
        <w:t>水质检测</w:t>
      </w:r>
      <w:r>
        <w:rPr>
          <w:rFonts w:hAnsi="宋体"/>
          <w:color w:val="000000"/>
          <w:szCs w:val="21"/>
        </w:rPr>
        <w:t>仪器。为了安全使用本仪器，</w:t>
      </w:r>
      <w:r>
        <w:rPr>
          <w:rFonts w:hAnsi="宋体"/>
          <w:szCs w:val="21"/>
        </w:rPr>
        <w:t>请注意以下安全防范措施。</w:t>
      </w:r>
    </w:p>
    <w:p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rFonts w:hAnsi="宋体"/>
          <w:szCs w:val="21"/>
        </w:rPr>
        <w:t>一些物质可能会有生物危害性，因此使用设备之前请做好保护措施。例如：穿戴防护衣和防护手套。</w:t>
      </w:r>
    </w:p>
    <w:p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rFonts w:hAnsi="宋体"/>
          <w:szCs w:val="21"/>
        </w:rPr>
        <w:t>当操作、拆卸、装配零部件时不要接触以下物质：质量控制物、标准样本、废弃液体。</w:t>
      </w:r>
    </w:p>
    <w:p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rFonts w:hAnsi="宋体"/>
          <w:szCs w:val="21"/>
        </w:rPr>
        <w:t>当</w:t>
      </w:r>
      <w:r>
        <w:rPr>
          <w:rFonts w:hint="eastAsia" w:hAnsi="宋体"/>
          <w:szCs w:val="21"/>
        </w:rPr>
        <w:t>使用或</w:t>
      </w:r>
      <w:r>
        <w:rPr>
          <w:rFonts w:hAnsi="宋体"/>
          <w:szCs w:val="21"/>
        </w:rPr>
        <w:t>处置废弃液体或者</w:t>
      </w:r>
      <w:r>
        <w:rPr>
          <w:rFonts w:hAnsi="宋体"/>
          <w:color w:val="000000"/>
          <w:szCs w:val="21"/>
        </w:rPr>
        <w:t>消毒仪器</w:t>
      </w:r>
      <w:r>
        <w:rPr>
          <w:rFonts w:hAnsi="宋体"/>
          <w:szCs w:val="21"/>
        </w:rPr>
        <w:t>时，务必戴上橡胶手套。请勿直接接触</w:t>
      </w:r>
      <w:r>
        <w:rPr>
          <w:rFonts w:hint="eastAsia" w:hAnsi="宋体"/>
          <w:szCs w:val="21"/>
        </w:rPr>
        <w:t>检测</w:t>
      </w:r>
      <w:r>
        <w:rPr>
          <w:rFonts w:hAnsi="宋体"/>
          <w:szCs w:val="21"/>
        </w:rPr>
        <w:t>液体，因为它们可能有</w:t>
      </w:r>
      <w:r>
        <w:rPr>
          <w:rFonts w:hint="eastAsia" w:hAnsi="宋体"/>
          <w:szCs w:val="21"/>
        </w:rPr>
        <w:t>腐蚀或有毒物质</w:t>
      </w:r>
      <w:r>
        <w:rPr>
          <w:rFonts w:hAnsi="宋体"/>
          <w:szCs w:val="21"/>
        </w:rPr>
        <w:t>。如果接触到废弃液体，先用消毒液冲刷，然后再用肥皂彻底清洗。</w:t>
      </w:r>
    </w:p>
    <w:p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rFonts w:hAnsi="宋体"/>
          <w:szCs w:val="21"/>
        </w:rPr>
        <w:t>当处理废弃液体或仪器寿命终止报废时，应履行国家或者当地关于废弃物处理的相关法规规定。</w:t>
      </w:r>
    </w:p>
    <w:p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rFonts w:hAnsi="宋体"/>
          <w:szCs w:val="21"/>
        </w:rPr>
        <w:t>为避免电击，仪器应该通过电源接地线接地。地线应该与大地连接良好。</w:t>
      </w:r>
    </w:p>
    <w:p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rFonts w:hAnsi="宋体"/>
          <w:szCs w:val="21"/>
        </w:rPr>
        <w:t>有较稳定的交流电网。</w:t>
      </w:r>
      <w:r>
        <w:rPr>
          <w:rFonts w:hAnsi="宋体"/>
          <w:color w:val="000000"/>
          <w:szCs w:val="21"/>
        </w:rPr>
        <w:t>禁止与大功率频繁通断的电器共用电源</w:t>
      </w:r>
      <w:r>
        <w:rPr>
          <w:rFonts w:hAnsi="宋体"/>
          <w:szCs w:val="21"/>
        </w:rPr>
        <w:t>，避免较大的电磁干扰。</w:t>
      </w:r>
    </w:p>
    <w:p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rFonts w:hAnsi="宋体"/>
          <w:szCs w:val="21"/>
        </w:rPr>
        <w:t>只有经过专业训练的</w:t>
      </w:r>
      <w:r>
        <w:rPr>
          <w:rFonts w:hint="eastAsia" w:hAnsi="宋体"/>
          <w:szCs w:val="21"/>
        </w:rPr>
        <w:t>实验室操作</w:t>
      </w:r>
      <w:r>
        <w:rPr>
          <w:rFonts w:hAnsi="宋体"/>
          <w:szCs w:val="21"/>
        </w:rPr>
        <w:t>人员才能操作此设备。操作符合实验室安全操作规范。</w:t>
      </w:r>
    </w:p>
    <w:p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rFonts w:hAnsi="宋体"/>
          <w:szCs w:val="21"/>
        </w:rPr>
        <w:t>若要拔掉电源线，请拔掉插头，不要强拉电源线。</w:t>
      </w:r>
    </w:p>
    <w:p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rFonts w:hAnsi="宋体"/>
          <w:szCs w:val="21"/>
        </w:rPr>
        <w:t>若设备出现烟雾、特殊的气味和奇怪的声响，请立即切断电源并联系经销商。</w:t>
      </w:r>
    </w:p>
    <w:p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rFonts w:hAnsi="宋体"/>
          <w:szCs w:val="21"/>
        </w:rPr>
        <w:t>完成检测工作后，请拔掉设备电源线组件，并且盖上防尘罩。</w:t>
      </w:r>
    </w:p>
    <w:p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rFonts w:hAnsi="宋体"/>
          <w:szCs w:val="21"/>
        </w:rPr>
        <w:t>维修设备时请戴上橡胶手套；若因修理或其他原因需要拆卸外壳，应该先关闭设备并且切断电源。</w:t>
      </w:r>
    </w:p>
    <w:p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rFonts w:hAnsi="宋体"/>
          <w:szCs w:val="21"/>
        </w:rPr>
        <w:t>该设备避免在有易燃混合物和易爆气体的环境下操作。</w:t>
      </w:r>
    </w:p>
    <w:p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rFonts w:hAnsi="宋体"/>
          <w:szCs w:val="21"/>
        </w:rPr>
        <w:t>如有必要，请更换相同规格的保险丝。保险丝规格见使用说明书。</w:t>
      </w:r>
    </w:p>
    <w:p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rFonts w:hAnsi="宋体"/>
          <w:szCs w:val="21"/>
        </w:rPr>
        <w:t>警告：在制造商和授权单位维修设备之前，用户不得私自拆卸零部件！请勿自行改装仪器。</w:t>
      </w:r>
    </w:p>
    <w:p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rFonts w:hAnsi="宋体"/>
          <w:szCs w:val="21"/>
        </w:rPr>
        <w:t>此设备是</w:t>
      </w:r>
      <w:r>
        <w:rPr>
          <w:rFonts w:hint="eastAsia" w:hAnsi="宋体"/>
          <w:szCs w:val="21"/>
        </w:rPr>
        <w:t>水质</w:t>
      </w:r>
      <w:r>
        <w:rPr>
          <w:rFonts w:hAnsi="宋体"/>
          <w:szCs w:val="21"/>
        </w:rPr>
        <w:t>检测设备，无禁忌症</w:t>
      </w:r>
      <w:r>
        <w:rPr>
          <w:rFonts w:hAnsi="宋体"/>
          <w:color w:val="000000"/>
          <w:szCs w:val="21"/>
        </w:rPr>
        <w:t>，不产生有毒有害气体</w:t>
      </w:r>
      <w:r>
        <w:rPr>
          <w:rFonts w:hAnsi="宋体"/>
          <w:szCs w:val="21"/>
        </w:rPr>
        <w:t>。</w:t>
      </w:r>
    </w:p>
    <w:p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rFonts w:hAnsi="宋体"/>
          <w:szCs w:val="21"/>
        </w:rPr>
        <w:t>用户有义务履行当地或者国家关于废弃物处理的相关法规。</w:t>
      </w:r>
    </w:p>
    <w:p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rFonts w:hAnsi="宋体"/>
          <w:szCs w:val="21"/>
        </w:rPr>
        <w:t>本仪器采用了以下标记和符号，意义如下：</w:t>
      </w:r>
      <w:r>
        <w:rPr>
          <w:szCs w:val="21"/>
        </w:rPr>
        <w:t xml:space="preserve"> </w:t>
      </w:r>
    </w:p>
    <w:tbl>
      <w:tblPr>
        <w:tblStyle w:val="23"/>
        <w:tblpPr w:leftFromText="180" w:rightFromText="180" w:vertAnchor="text" w:horzAnchor="page" w:tblpX="2113" w:tblpY="69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5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符号</w:t>
            </w:r>
          </w:p>
        </w:tc>
        <w:tc>
          <w:tcPr>
            <w:tcW w:w="5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意义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drawing>
                <wp:inline distT="0" distB="0" distL="0" distR="0">
                  <wp:extent cx="319405" cy="250190"/>
                  <wp:effectExtent l="19050" t="0" r="4445" b="0"/>
                  <wp:docPr id="1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405" cy="250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断开交流电源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b/>
                <w:szCs w:val="21"/>
              </w:rPr>
              <w:t>┃</w:t>
            </w:r>
          </w:p>
        </w:tc>
        <w:tc>
          <w:tcPr>
            <w:tcW w:w="5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接通交流电源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465455</wp:posOffset>
                  </wp:positionH>
                  <wp:positionV relativeFrom="paragraph">
                    <wp:posOffset>46990</wp:posOffset>
                  </wp:positionV>
                  <wp:extent cx="325755" cy="319405"/>
                  <wp:effectExtent l="19050" t="0" r="0" b="0"/>
                  <wp:wrapNone/>
                  <wp:docPr id="372" name="图片 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" name="图片 3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755" cy="3194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45" w:firstLineChars="450"/>
              <w:rPr>
                <w:b/>
                <w:szCs w:val="21"/>
              </w:rPr>
            </w:pPr>
            <w:r>
              <w:rPr>
                <w:rFonts w:hAnsi="宋体"/>
                <w:szCs w:val="21"/>
              </w:rPr>
              <w:t>警告：废弃液体有潜在的生物危害。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68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drawing>
                <wp:inline distT="0" distB="0" distL="0" distR="0">
                  <wp:extent cx="344805" cy="276225"/>
                  <wp:effectExtent l="19050" t="0" r="0" b="0"/>
                  <wp:docPr id="2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805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  <w:lang w:val="en-GB"/>
              </w:rPr>
            </w:pPr>
            <w:r>
              <w:rPr>
                <w:rFonts w:hAnsi="宋体"/>
                <w:szCs w:val="21"/>
                <w:lang w:val="en-GB"/>
              </w:rPr>
              <w:t>保护性接地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drawing>
                <wp:inline distT="0" distB="0" distL="0" distR="0">
                  <wp:extent cx="276225" cy="431165"/>
                  <wp:effectExtent l="19050" t="0" r="9525" b="0"/>
                  <wp:docPr id="3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25" cy="4311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5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  <w:lang w:val="en-GB"/>
              </w:rPr>
            </w:pPr>
            <w:r>
              <w:rPr>
                <w:rFonts w:hint="eastAsia"/>
                <w:szCs w:val="21"/>
                <w:lang w:val="en-GB"/>
              </w:rPr>
              <w:t>被禁止的操作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</w:rPr>
              <w:drawing>
                <wp:inline distT="0" distB="0" distL="0" distR="0">
                  <wp:extent cx="379730" cy="362585"/>
                  <wp:effectExtent l="19050" t="0" r="1270" b="0"/>
                  <wp:docPr id="4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730" cy="3625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  <w:lang w:val="en-GB"/>
              </w:rPr>
            </w:pPr>
            <w:r>
              <w:rPr>
                <w:rFonts w:hAnsi="宋体"/>
              </w:rPr>
              <w:t>警示！注意：请仔细阅读</w:t>
            </w:r>
          </w:p>
        </w:tc>
      </w:tr>
      <w:bookmarkEnd w:id="0"/>
    </w:tbl>
    <w:p>
      <w:pPr>
        <w:outlineLvl w:val="1"/>
        <w:rPr>
          <w:b/>
          <w:color w:val="000000"/>
          <w:sz w:val="24"/>
        </w:rPr>
      </w:pPr>
      <w:bookmarkStart w:id="4" w:name="_Toc20304"/>
      <w:bookmarkStart w:id="5" w:name="_Toc349807290"/>
    </w:p>
    <w:p>
      <w:pPr>
        <w:pStyle w:val="2"/>
        <w:numPr>
          <w:ilvl w:val="0"/>
          <w:numId w:val="2"/>
        </w:numPr>
        <w:jc w:val="center"/>
      </w:pPr>
      <w:r>
        <w:rPr>
          <w:rFonts w:hint="eastAsia"/>
        </w:rPr>
        <w:t xml:space="preserve">  </w:t>
      </w:r>
      <w:bookmarkStart w:id="6" w:name="_Toc517943599"/>
      <w:r>
        <w:t>仪器简介</w:t>
      </w:r>
      <w:bookmarkEnd w:id="6"/>
    </w:p>
    <w:bookmarkEnd w:id="4"/>
    <w:p>
      <w:pPr>
        <w:pStyle w:val="3"/>
        <w:rPr>
          <w:rFonts w:ascii="Times New Roman" w:hAnsi="Times New Roman"/>
        </w:rPr>
      </w:pPr>
      <w:bookmarkStart w:id="7" w:name="_Toc517943600"/>
      <w:bookmarkStart w:id="8" w:name="_Toc14585"/>
      <w:r>
        <w:rPr>
          <w:rFonts w:ascii="Times New Roman"/>
        </w:rPr>
        <w:t>概述</w:t>
      </w:r>
      <w:bookmarkEnd w:id="7"/>
      <w:bookmarkEnd w:id="8"/>
    </w:p>
    <w:p>
      <w:pPr>
        <w:ind w:firstLine="420"/>
        <w:rPr>
          <w:b/>
          <w:bCs/>
          <w:color w:val="000000"/>
        </w:rPr>
      </w:pPr>
      <w:bookmarkStart w:id="9" w:name="_Toc10562"/>
      <w:bookmarkStart w:id="10" w:name="_Toc172171596"/>
      <w:bookmarkStart w:id="11" w:name="_Toc173124786"/>
      <w:r>
        <w:rPr>
          <w:rFonts w:hAnsi="宋体"/>
          <w:color w:val="000000"/>
        </w:rPr>
        <w:t>本仪器采用大屏幕全汉字显示</w:t>
      </w:r>
      <w:r>
        <w:rPr>
          <w:color w:val="000000"/>
        </w:rPr>
        <w:t xml:space="preserve">, </w:t>
      </w:r>
      <w:r>
        <w:rPr>
          <w:rFonts w:hAnsi="宋体"/>
          <w:color w:val="000000"/>
        </w:rPr>
        <w:t>可连续运行，特别适合国内用户的使用。</w:t>
      </w:r>
      <w:r>
        <w:rPr>
          <w:color w:val="000000"/>
          <w:szCs w:val="21"/>
        </w:rPr>
        <w:t>本仪器使用的试剂必须为</w:t>
      </w:r>
      <w:r>
        <w:rPr>
          <w:rFonts w:hint="eastAsia"/>
          <w:color w:val="000000"/>
          <w:szCs w:val="21"/>
        </w:rPr>
        <w:t>本公司提供或推荐使用</w:t>
      </w:r>
      <w:r>
        <w:rPr>
          <w:color w:val="000000"/>
          <w:szCs w:val="21"/>
        </w:rPr>
        <w:t>的</w:t>
      </w:r>
      <w:r>
        <w:rPr>
          <w:rFonts w:hint="eastAsia"/>
          <w:color w:val="000000"/>
          <w:szCs w:val="21"/>
        </w:rPr>
        <w:t>其他供货商的水质检测</w:t>
      </w:r>
      <w:r>
        <w:rPr>
          <w:color w:val="000000"/>
          <w:szCs w:val="21"/>
        </w:rPr>
        <w:t>试剂。</w:t>
      </w:r>
    </w:p>
    <w:bookmarkEnd w:id="9"/>
    <w:p>
      <w:pPr>
        <w:pStyle w:val="3"/>
        <w:rPr>
          <w:rFonts w:ascii="Times New Roman" w:hAnsi="Times New Roman"/>
        </w:rPr>
      </w:pPr>
      <w:bookmarkStart w:id="12" w:name="_Toc517943601"/>
      <w:bookmarkStart w:id="13" w:name="_Toc26494"/>
      <w:bookmarkStart w:id="14" w:name="_Toc173124788"/>
      <w:bookmarkStart w:id="15" w:name="_Toc14234"/>
      <w:bookmarkStart w:id="16" w:name="_Toc172171598"/>
      <w:r>
        <w:rPr>
          <w:rFonts w:ascii="Times New Roman" w:hAnsi="Times New Roman"/>
        </w:rPr>
        <w:t>1.1</w:t>
      </w:r>
      <w:r>
        <w:rPr>
          <w:rFonts w:ascii="Times New Roman"/>
        </w:rPr>
        <w:t>预期用途</w:t>
      </w:r>
      <w:bookmarkEnd w:id="12"/>
      <w:bookmarkEnd w:id="13"/>
    </w:p>
    <w:p>
      <w:r>
        <w:t>该产品与</w:t>
      </w:r>
      <w:r>
        <w:rPr>
          <w:rFonts w:hint="eastAsia"/>
        </w:rPr>
        <w:t>水质检测</w:t>
      </w:r>
      <w:r>
        <w:t>试剂配套使用，供实验室检测样本吸光度，进行</w:t>
      </w:r>
      <w:r>
        <w:rPr>
          <w:rFonts w:hint="eastAsia"/>
        </w:rPr>
        <w:t>检测物质浓度含量</w:t>
      </w:r>
      <w:r>
        <w:t>分析</w:t>
      </w:r>
      <w:r>
        <w:rPr>
          <w:rFonts w:hint="eastAsia"/>
        </w:rPr>
        <w:t>。</w:t>
      </w:r>
    </w:p>
    <w:p>
      <w:pPr>
        <w:pStyle w:val="3"/>
        <w:rPr>
          <w:rFonts w:ascii="Times New Roman" w:hAnsi="Times New Roman"/>
        </w:rPr>
      </w:pPr>
      <w:bookmarkStart w:id="17" w:name="_Toc15810"/>
      <w:bookmarkStart w:id="18" w:name="_Toc1613"/>
      <w:bookmarkStart w:id="19" w:name="_Toc18722"/>
      <w:bookmarkStart w:id="20" w:name="_Toc12842"/>
      <w:bookmarkStart w:id="21" w:name="_Toc32398"/>
      <w:bookmarkStart w:id="22" w:name="_Toc2127"/>
      <w:bookmarkStart w:id="23" w:name="_Toc15980"/>
      <w:bookmarkStart w:id="24" w:name="_Toc30962"/>
      <w:bookmarkStart w:id="25" w:name="_Toc517943602"/>
      <w:r>
        <w:rPr>
          <w:rFonts w:ascii="Times New Roman" w:hAnsi="Times New Roman"/>
        </w:rPr>
        <w:t xml:space="preserve">1.2 </w:t>
      </w:r>
      <w:bookmarkEnd w:id="17"/>
      <w:bookmarkEnd w:id="18"/>
      <w:bookmarkEnd w:id="19"/>
      <w:bookmarkEnd w:id="20"/>
      <w:bookmarkEnd w:id="21"/>
      <w:bookmarkEnd w:id="22"/>
      <w:bookmarkEnd w:id="23"/>
      <w:bookmarkEnd w:id="24"/>
      <w:r>
        <w:rPr>
          <w:rFonts w:ascii="Times New Roman"/>
        </w:rPr>
        <w:t>结构组成</w:t>
      </w:r>
      <w:bookmarkEnd w:id="25"/>
    </w:p>
    <w:p>
      <w:pPr>
        <w:spacing w:line="400" w:lineRule="exact"/>
        <w:ind w:left="-2" w:leftChars="-1" w:firstLine="420" w:firstLineChars="200"/>
      </w:pPr>
      <w:r>
        <w:rPr>
          <w:rFonts w:hAnsi="宋体"/>
          <w:color w:val="000000"/>
          <w:kern w:val="0"/>
          <w:szCs w:val="21"/>
        </w:rPr>
        <w:t>本仪器由光源系统、检测单元、控制单元、操作软件和显示单元及打印单元组成</w:t>
      </w:r>
      <w:r>
        <w:rPr>
          <w:rFonts w:hint="eastAsia" w:hAnsi="宋体"/>
          <w:color w:val="000000"/>
          <w:kern w:val="0"/>
          <w:szCs w:val="21"/>
        </w:rPr>
        <w:t>。</w:t>
      </w:r>
    </w:p>
    <w:p>
      <w:pPr>
        <w:pStyle w:val="3"/>
        <w:rPr>
          <w:rFonts w:ascii="Times New Roman" w:hAnsi="Times New Roman"/>
        </w:rPr>
      </w:pPr>
      <w:bookmarkStart w:id="26" w:name="_Toc517943603"/>
      <w:r>
        <w:rPr>
          <w:rFonts w:ascii="Times New Roman" w:hAnsi="Times New Roman"/>
        </w:rPr>
        <w:t>1.3</w:t>
      </w:r>
      <w:r>
        <w:rPr>
          <w:rFonts w:ascii="Times New Roman"/>
        </w:rPr>
        <w:t>工作原理</w:t>
      </w:r>
      <w:bookmarkEnd w:id="26"/>
    </w:p>
    <w:bookmarkEnd w:id="14"/>
    <w:bookmarkEnd w:id="15"/>
    <w:bookmarkEnd w:id="16"/>
    <w:p>
      <w:pPr>
        <w:ind w:firstLine="420" w:firstLineChars="200"/>
        <w:rPr>
          <w:kern w:val="0"/>
          <w:szCs w:val="21"/>
        </w:rPr>
      </w:pPr>
      <w:r>
        <w:rPr>
          <w:szCs w:val="21"/>
        </w:rPr>
        <w:t>本仪器</w:t>
      </w:r>
      <w:r>
        <w:rPr>
          <w:kern w:val="0"/>
          <w:szCs w:val="21"/>
        </w:rPr>
        <w:t>是</w:t>
      </w:r>
      <w:r>
        <w:rPr>
          <w:rFonts w:hint="eastAsia"/>
          <w:kern w:val="0"/>
          <w:szCs w:val="21"/>
        </w:rPr>
        <w:t>按照国家有关部门发布的以下标准</w:t>
      </w:r>
    </w:p>
    <w:p>
      <w:pPr>
        <w:ind w:firstLine="420" w:firstLineChars="200"/>
        <w:rPr>
          <w:rFonts w:ascii="幼圆" w:eastAsia="幼圆"/>
          <w:szCs w:val="21"/>
        </w:rPr>
      </w:pPr>
      <w:r>
        <w:rPr>
          <w:rFonts w:hint="eastAsia" w:ascii="幼圆" w:eastAsia="幼圆"/>
          <w:szCs w:val="21"/>
        </w:rPr>
        <w:t>《水质 化学需氧量的测定 快速消解分光光度法》</w:t>
      </w:r>
    </w:p>
    <w:p>
      <w:pPr>
        <w:ind w:firstLine="420" w:firstLineChars="200"/>
        <w:rPr>
          <w:rFonts w:ascii="幼圆" w:eastAsia="幼圆"/>
          <w:szCs w:val="21"/>
        </w:rPr>
      </w:pPr>
      <w:r>
        <w:rPr>
          <w:rFonts w:hint="eastAsia" w:ascii="幼圆" w:eastAsia="幼圆"/>
          <w:szCs w:val="21"/>
        </w:rPr>
        <w:t>《水质 氨氮的测定 纳氏试剂比色法》</w:t>
      </w:r>
    </w:p>
    <w:p>
      <w:pPr>
        <w:ind w:firstLine="420" w:firstLineChars="200"/>
        <w:rPr>
          <w:rFonts w:ascii="幼圆" w:eastAsia="幼圆"/>
          <w:szCs w:val="21"/>
        </w:rPr>
      </w:pPr>
      <w:r>
        <w:rPr>
          <w:rFonts w:hint="eastAsia" w:ascii="幼圆" w:eastAsia="幼圆"/>
          <w:szCs w:val="21"/>
        </w:rPr>
        <w:t>《水质 总磷的测定 钼锑抗分光光度法》</w:t>
      </w:r>
    </w:p>
    <w:p>
      <w:pPr>
        <w:ind w:firstLine="420" w:firstLineChars="200"/>
        <w:rPr>
          <w:rFonts w:ascii="幼圆" w:eastAsia="幼圆"/>
          <w:szCs w:val="21"/>
        </w:rPr>
      </w:pPr>
      <w:r>
        <w:rPr>
          <w:rFonts w:hint="eastAsia" w:ascii="幼圆" w:eastAsia="幼圆"/>
          <w:szCs w:val="21"/>
        </w:rPr>
        <w:t>《水质 总氮的测定 碱性过硫酸钾消解紫外分光光度法》</w:t>
      </w:r>
    </w:p>
    <w:p>
      <w:pPr>
        <w:ind w:firstLine="420" w:firstLineChars="200"/>
        <w:rPr>
          <w:rFonts w:ascii="幼圆" w:eastAsia="幼圆"/>
          <w:szCs w:val="21"/>
        </w:rPr>
      </w:pPr>
      <w:r>
        <w:rPr>
          <w:rFonts w:hint="eastAsia" w:ascii="幼圆" w:eastAsia="幼圆"/>
          <w:szCs w:val="21"/>
        </w:rPr>
        <w:t>《GBT 5750-2006 生活饮用水标准检验方法》等的国标及行标</w:t>
      </w:r>
    </w:p>
    <w:p>
      <w:pPr>
        <w:ind w:left="315" w:leftChars="150"/>
        <w:rPr>
          <w:kern w:val="0"/>
        </w:rPr>
      </w:pPr>
      <w:r>
        <w:rPr>
          <w:szCs w:val="21"/>
        </w:rPr>
        <w:t>的工作原理，进行检验的仪器。仪器工作时先检测出待测样本液及标准液/对照液的吸光度，然后经过分析计算，测定出样本液中待测物质的含量状态。</w:t>
      </w:r>
      <w:r>
        <w:rPr>
          <w:bCs/>
          <w:szCs w:val="21"/>
        </w:rPr>
        <w:t>本仪器与</w:t>
      </w:r>
      <w:r>
        <w:rPr>
          <w:rFonts w:hint="eastAsia"/>
          <w:bCs/>
          <w:szCs w:val="21"/>
        </w:rPr>
        <w:t>水质检测</w:t>
      </w:r>
      <w:r>
        <w:rPr>
          <w:bCs/>
        </w:rPr>
        <w:t>试剂配套使用，</w:t>
      </w:r>
      <w:r>
        <w:rPr>
          <w:kern w:val="0"/>
        </w:rPr>
        <w:t>采用光电比色法对</w:t>
      </w:r>
      <w:r>
        <w:rPr>
          <w:rFonts w:hint="eastAsia"/>
          <w:kern w:val="0"/>
        </w:rPr>
        <w:t>水体</w:t>
      </w:r>
      <w:r>
        <w:rPr>
          <w:kern w:val="0"/>
        </w:rPr>
        <w:t>样本进行定量测定。</w:t>
      </w:r>
    </w:p>
    <w:p>
      <w:pPr>
        <w:pStyle w:val="3"/>
        <w:rPr>
          <w:rFonts w:ascii="Times New Roman" w:hAnsi="Times New Roman"/>
        </w:rPr>
      </w:pPr>
      <w:bookmarkStart w:id="27" w:name="_Toc26633"/>
      <w:bookmarkStart w:id="28" w:name="_Toc20649"/>
      <w:bookmarkStart w:id="29" w:name="_Toc12006"/>
      <w:bookmarkStart w:id="30" w:name="_Toc11137"/>
      <w:bookmarkStart w:id="31" w:name="_Toc22539"/>
      <w:bookmarkStart w:id="32" w:name="_Toc9129"/>
      <w:bookmarkStart w:id="33" w:name="_Toc29030"/>
      <w:bookmarkStart w:id="34" w:name="_Toc9059"/>
      <w:bookmarkStart w:id="35" w:name="_Toc517943604"/>
      <w:r>
        <w:rPr>
          <w:rFonts w:ascii="Times New Roman" w:hAnsi="Times New Roman"/>
        </w:rPr>
        <w:t>1.4</w:t>
      </w:r>
      <w:r>
        <w:rPr>
          <w:rFonts w:ascii="Times New Roman"/>
        </w:rPr>
        <w:t>仪器的基本参数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</w:p>
    <w:p>
      <w:pPr>
        <w:numPr>
          <w:ilvl w:val="0"/>
          <w:numId w:val="3"/>
        </w:numPr>
        <w:tabs>
          <w:tab w:val="clear" w:pos="360"/>
        </w:tabs>
        <w:ind w:firstLine="66"/>
        <w:rPr>
          <w:szCs w:val="21"/>
        </w:rPr>
      </w:pPr>
      <w:r>
        <w:rPr>
          <w:rFonts w:hAnsi="宋体"/>
          <w:color w:val="000000"/>
          <w:szCs w:val="21"/>
        </w:rPr>
        <w:t>工作波长范围：</w:t>
      </w:r>
      <w:r>
        <w:rPr>
          <w:rFonts w:hint="eastAsia" w:hAnsi="宋体"/>
          <w:color w:val="000000"/>
          <w:szCs w:val="21"/>
        </w:rPr>
        <w:t>190</w:t>
      </w:r>
      <w:r>
        <w:rPr>
          <w:color w:val="000000"/>
          <w:szCs w:val="21"/>
        </w:rPr>
        <w:t>-</w:t>
      </w:r>
      <w:r>
        <w:rPr>
          <w:rFonts w:hint="eastAsia"/>
          <w:color w:val="000000"/>
          <w:szCs w:val="21"/>
        </w:rPr>
        <w:t>1100</w:t>
      </w:r>
      <w:r>
        <w:rPr>
          <w:color w:val="000000"/>
          <w:szCs w:val="21"/>
        </w:rPr>
        <w:t xml:space="preserve"> nm</w:t>
      </w:r>
      <w:r>
        <w:rPr>
          <w:rFonts w:hAnsi="宋体"/>
          <w:color w:val="000000"/>
          <w:szCs w:val="21"/>
        </w:rPr>
        <w:t>；波长</w:t>
      </w:r>
      <w:r>
        <w:rPr>
          <w:rFonts w:hint="eastAsia" w:hAnsi="宋体"/>
          <w:color w:val="000000"/>
          <w:szCs w:val="21"/>
        </w:rPr>
        <w:t>准确度</w:t>
      </w:r>
      <w:r>
        <w:rPr>
          <w:rFonts w:hAnsi="宋体"/>
          <w:color w:val="000000"/>
          <w:szCs w:val="21"/>
        </w:rPr>
        <w:t>：</w:t>
      </w:r>
      <w:r>
        <w:rPr>
          <w:szCs w:val="21"/>
        </w:rPr>
        <w:t>±</w:t>
      </w:r>
      <w:r>
        <w:rPr>
          <w:rFonts w:hint="eastAsia"/>
          <w:szCs w:val="21"/>
        </w:rPr>
        <w:t>1</w:t>
      </w:r>
      <w:r>
        <w:rPr>
          <w:rFonts w:hAnsi="宋体"/>
          <w:color w:val="000000"/>
          <w:szCs w:val="21"/>
        </w:rPr>
        <w:t>（</w:t>
      </w:r>
      <w:r>
        <w:rPr>
          <w:color w:val="000000"/>
          <w:szCs w:val="21"/>
        </w:rPr>
        <w:t>nm</w:t>
      </w:r>
      <w:r>
        <w:rPr>
          <w:rFonts w:hAnsi="宋体"/>
          <w:color w:val="000000"/>
          <w:szCs w:val="21"/>
        </w:rPr>
        <w:t>）</w:t>
      </w:r>
      <w:r>
        <w:rPr>
          <w:rFonts w:hint="eastAsia" w:hAnsi="宋体"/>
          <w:color w:val="000000"/>
          <w:szCs w:val="21"/>
        </w:rPr>
        <w:t>。</w:t>
      </w:r>
    </w:p>
    <w:p>
      <w:pPr>
        <w:pStyle w:val="5"/>
        <w:ind w:firstLine="840" w:firstLineChars="400"/>
        <w:rPr>
          <w:color w:val="FF0000"/>
        </w:rPr>
      </w:pPr>
      <w:r>
        <w:rPr>
          <w:rFonts w:hAnsi="宋体"/>
          <w:szCs w:val="21"/>
        </w:rPr>
        <w:t>仪器的检测范围</w:t>
      </w:r>
      <w:r>
        <w:rPr>
          <w:rFonts w:hint="eastAsia"/>
          <w:color w:val="000000"/>
          <w:szCs w:val="21"/>
        </w:rPr>
        <w:t>：吸光度值</w:t>
      </w:r>
      <w:r>
        <w:rPr>
          <w:szCs w:val="21"/>
        </w:rPr>
        <w:t>0.000-</w:t>
      </w:r>
      <w:r>
        <w:rPr>
          <w:rFonts w:hint="eastAsia"/>
          <w:szCs w:val="21"/>
        </w:rPr>
        <w:t>3</w:t>
      </w:r>
      <w:r>
        <w:rPr>
          <w:szCs w:val="21"/>
        </w:rPr>
        <w:t>.000A</w:t>
      </w:r>
    </w:p>
    <w:p>
      <w:pPr>
        <w:numPr>
          <w:ilvl w:val="0"/>
          <w:numId w:val="3"/>
        </w:numPr>
        <w:tabs>
          <w:tab w:val="clear" w:pos="360"/>
        </w:tabs>
        <w:ind w:firstLine="66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抗氯干扰：[Cl</w:t>
      </w:r>
      <w:r>
        <w:rPr>
          <w:color w:val="000000"/>
          <w:szCs w:val="21"/>
        </w:rPr>
        <w:t>-</w:t>
      </w:r>
      <w:r>
        <w:rPr>
          <w:rFonts w:hint="eastAsia"/>
          <w:color w:val="000000"/>
          <w:szCs w:val="21"/>
        </w:rPr>
        <w:t>]＜10</w:t>
      </w:r>
      <w:r>
        <w:rPr>
          <w:color w:val="000000"/>
          <w:szCs w:val="21"/>
        </w:rPr>
        <w:t>00</w:t>
      </w:r>
      <w:r>
        <w:rPr>
          <w:rFonts w:hint="eastAsia"/>
          <w:color w:val="000000"/>
          <w:szCs w:val="21"/>
        </w:rPr>
        <w:t>mg/L；[Cl</w:t>
      </w:r>
      <w:r>
        <w:rPr>
          <w:color w:val="000000"/>
          <w:szCs w:val="21"/>
        </w:rPr>
        <w:t>-</w:t>
      </w:r>
      <w:r>
        <w:rPr>
          <w:rFonts w:hint="eastAsia"/>
          <w:color w:val="000000"/>
          <w:szCs w:val="21"/>
        </w:rPr>
        <w:t>]＜1</w:t>
      </w:r>
      <w:r>
        <w:rPr>
          <w:color w:val="000000"/>
          <w:szCs w:val="21"/>
        </w:rPr>
        <w:t>0000</w:t>
      </w:r>
      <w:r>
        <w:rPr>
          <w:rFonts w:hint="eastAsia"/>
          <w:color w:val="000000"/>
          <w:szCs w:val="21"/>
        </w:rPr>
        <w:t>mg/L(可选)；</w:t>
      </w:r>
    </w:p>
    <w:p>
      <w:pPr>
        <w:numPr>
          <w:ilvl w:val="0"/>
          <w:numId w:val="3"/>
        </w:numPr>
        <w:tabs>
          <w:tab w:val="clear" w:pos="360"/>
        </w:tabs>
        <w:ind w:firstLine="66"/>
        <w:rPr>
          <w:color w:val="000000"/>
          <w:szCs w:val="21"/>
        </w:rPr>
      </w:pPr>
      <w:r>
        <w:rPr>
          <w:color w:val="000000"/>
          <w:szCs w:val="21"/>
        </w:rPr>
        <w:t>光源灯：石英卤钨灯</w:t>
      </w:r>
      <w:r>
        <w:rPr>
          <w:rFonts w:hint="eastAsia"/>
          <w:color w:val="000000"/>
          <w:szCs w:val="21"/>
        </w:rPr>
        <w:t>、氘灯</w:t>
      </w:r>
    </w:p>
    <w:p>
      <w:pPr>
        <w:numPr>
          <w:ilvl w:val="0"/>
          <w:numId w:val="3"/>
        </w:numPr>
        <w:tabs>
          <w:tab w:val="clear" w:pos="360"/>
        </w:tabs>
        <w:ind w:firstLine="66"/>
        <w:rPr>
          <w:color w:val="000000"/>
          <w:szCs w:val="21"/>
        </w:rPr>
      </w:pPr>
      <w:r>
        <w:rPr>
          <w:color w:val="000000"/>
          <w:szCs w:val="21"/>
        </w:rPr>
        <w:t>分辨率</w:t>
      </w:r>
      <w:r>
        <w:rPr>
          <w:rFonts w:hint="eastAsia"/>
          <w:color w:val="000000"/>
          <w:szCs w:val="21"/>
        </w:rPr>
        <w:t>：</w:t>
      </w:r>
      <w:r>
        <w:rPr>
          <w:color w:val="000000"/>
          <w:szCs w:val="21"/>
        </w:rPr>
        <w:t>0.001；</w:t>
      </w:r>
    </w:p>
    <w:p>
      <w:pPr>
        <w:numPr>
          <w:ilvl w:val="0"/>
          <w:numId w:val="3"/>
        </w:numPr>
        <w:tabs>
          <w:tab w:val="clear" w:pos="360"/>
        </w:tabs>
        <w:ind w:firstLine="66"/>
        <w:rPr>
          <w:color w:val="000000"/>
          <w:szCs w:val="21"/>
        </w:rPr>
      </w:pPr>
      <w:r>
        <w:rPr>
          <w:color w:val="000000"/>
          <w:szCs w:val="21"/>
        </w:rPr>
        <w:t>适用</w:t>
      </w:r>
      <w:r>
        <w:rPr>
          <w:rFonts w:hint="eastAsia"/>
          <w:color w:val="000000"/>
          <w:szCs w:val="21"/>
        </w:rPr>
        <w:t>比色皿型</w:t>
      </w:r>
      <w:r>
        <w:rPr>
          <w:color w:val="000000"/>
          <w:szCs w:val="21"/>
        </w:rPr>
        <w:t>：</w:t>
      </w:r>
      <w:r>
        <w:rPr>
          <w:rFonts w:hint="eastAsia"/>
          <w:color w:val="000000"/>
          <w:szCs w:val="21"/>
        </w:rPr>
        <w:t>10mm-30mm玻璃和石英比色皿</w:t>
      </w:r>
      <w:r>
        <w:rPr>
          <w:color w:val="000000"/>
          <w:szCs w:val="21"/>
        </w:rPr>
        <w:t>；</w:t>
      </w:r>
    </w:p>
    <w:p>
      <w:pPr>
        <w:numPr>
          <w:ilvl w:val="0"/>
          <w:numId w:val="3"/>
        </w:numPr>
        <w:tabs>
          <w:tab w:val="clear" w:pos="360"/>
        </w:tabs>
        <w:ind w:firstLine="66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读取</w:t>
      </w:r>
      <w:r>
        <w:rPr>
          <w:color w:val="000000"/>
          <w:szCs w:val="21"/>
        </w:rPr>
        <w:t>速度：</w:t>
      </w:r>
      <w:r>
        <w:rPr>
          <w:rFonts w:hint="eastAsia"/>
          <w:color w:val="000000"/>
          <w:szCs w:val="21"/>
        </w:rPr>
        <w:t>≤3</w:t>
      </w:r>
      <w:r>
        <w:rPr>
          <w:color w:val="000000"/>
          <w:szCs w:val="21"/>
        </w:rPr>
        <w:t>s；</w:t>
      </w:r>
    </w:p>
    <w:p>
      <w:pPr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7</w:t>
      </w:r>
      <w:r>
        <w:rPr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 xml:space="preserve"> 存储数据：500万条；</w:t>
      </w:r>
    </w:p>
    <w:p>
      <w:pPr>
        <w:kinsoku w:val="0"/>
        <w:overflowPunct w:val="0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8） 显示模式： 5寸彩色电容触摸液晶屏；</w:t>
      </w:r>
    </w:p>
    <w:p>
      <w:pPr>
        <w:kinsoku w:val="0"/>
        <w:overflowPunct w:val="0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9）参数切换：自动；</w:t>
      </w:r>
    </w:p>
    <w:p>
      <w:pPr>
        <w:kinsoku w:val="0"/>
        <w:overflowPunct w:val="0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10）操作界面：中英文切换；</w:t>
      </w:r>
    </w:p>
    <w:p>
      <w:pPr>
        <w:kinsoku w:val="0"/>
        <w:overflowPunct w:val="0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11）打 印 机：热敏行式打印机；</w:t>
      </w:r>
    </w:p>
    <w:p>
      <w:pPr>
        <w:kinsoku w:val="0"/>
        <w:overflowPunct w:val="0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12）数据通讯口：USB、接口</w:t>
      </w:r>
    </w:p>
    <w:p>
      <w:pPr>
        <w:pStyle w:val="3"/>
        <w:rPr>
          <w:rFonts w:ascii="Times New Roman" w:hAnsi="Times New Roman"/>
        </w:rPr>
      </w:pPr>
      <w:bookmarkStart w:id="36" w:name="_Toc20924"/>
      <w:bookmarkStart w:id="37" w:name="_Toc22732"/>
      <w:bookmarkStart w:id="38" w:name="_Toc1664"/>
      <w:bookmarkStart w:id="39" w:name="_Toc2365"/>
      <w:bookmarkStart w:id="40" w:name="_Toc9396"/>
      <w:bookmarkStart w:id="41" w:name="_Toc5957"/>
      <w:bookmarkStart w:id="42" w:name="_Toc3029"/>
      <w:bookmarkStart w:id="43" w:name="_Toc29746"/>
      <w:bookmarkStart w:id="44" w:name="_Toc517943605"/>
      <w:r>
        <w:rPr>
          <w:rFonts w:ascii="Times New Roman" w:hAnsi="Times New Roman"/>
        </w:rPr>
        <w:t xml:space="preserve">1.5 </w:t>
      </w:r>
      <w:bookmarkEnd w:id="36"/>
      <w:bookmarkEnd w:id="37"/>
      <w:bookmarkEnd w:id="38"/>
      <w:bookmarkEnd w:id="39"/>
      <w:bookmarkEnd w:id="40"/>
      <w:bookmarkEnd w:id="41"/>
      <w:bookmarkEnd w:id="42"/>
      <w:bookmarkStart w:id="45" w:name="_Toc10043"/>
      <w:bookmarkStart w:id="46" w:name="_Toc2488"/>
      <w:bookmarkStart w:id="47" w:name="_Toc19670"/>
      <w:bookmarkStart w:id="48" w:name="_Toc10466"/>
      <w:bookmarkStart w:id="49" w:name="_Toc32479"/>
      <w:bookmarkStart w:id="50" w:name="_Toc7222"/>
      <w:bookmarkStart w:id="51" w:name="_Toc2570"/>
      <w:r>
        <w:rPr>
          <w:rFonts w:ascii="Times New Roman"/>
        </w:rPr>
        <w:t>正常工作条件和储存条件</w:t>
      </w:r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</w:p>
    <w:p>
      <w:pPr>
        <w:spacing w:line="400" w:lineRule="exact"/>
        <w:rPr>
          <w:szCs w:val="21"/>
        </w:rPr>
      </w:pPr>
      <w:r>
        <w:rPr>
          <w:szCs w:val="21"/>
        </w:rPr>
        <w:t xml:space="preserve">1.5.1 </w:t>
      </w:r>
      <w:r>
        <w:rPr>
          <w:rFonts w:hAnsi="宋体"/>
          <w:szCs w:val="21"/>
        </w:rPr>
        <w:t>正常</w:t>
      </w:r>
      <w:r>
        <w:rPr>
          <w:rFonts w:hAnsi="宋体"/>
          <w:bCs/>
          <w:szCs w:val="21"/>
        </w:rPr>
        <w:t>工作</w:t>
      </w:r>
      <w:r>
        <w:rPr>
          <w:rFonts w:hAnsi="宋体"/>
          <w:bCs/>
          <w:kern w:val="0"/>
          <w:szCs w:val="21"/>
        </w:rPr>
        <w:t>条件</w:t>
      </w:r>
    </w:p>
    <w:p>
      <w:pPr>
        <w:spacing w:line="400" w:lineRule="exact"/>
        <w:ind w:firstLine="315" w:firstLineChars="150"/>
        <w:jc w:val="left"/>
        <w:rPr>
          <w:szCs w:val="21"/>
        </w:rPr>
      </w:pPr>
      <w:r>
        <w:rPr>
          <w:szCs w:val="21"/>
        </w:rPr>
        <w:t>1</w:t>
      </w:r>
      <w:r>
        <w:rPr>
          <w:rFonts w:hAnsi="宋体"/>
          <w:szCs w:val="21"/>
        </w:rPr>
        <w:t>）环境温度</w:t>
      </w:r>
      <w:r>
        <w:rPr>
          <w:rFonts w:hint="eastAsia"/>
          <w:color w:val="000000"/>
          <w:szCs w:val="21"/>
        </w:rPr>
        <w:t>：</w:t>
      </w:r>
      <w:r>
        <w:rPr>
          <w:rFonts w:hint="eastAsia"/>
          <w:szCs w:val="21"/>
        </w:rPr>
        <w:t>5</w:t>
      </w:r>
      <w:r>
        <w:rPr>
          <w:rFonts w:hAnsi="宋体"/>
          <w:szCs w:val="21"/>
        </w:rPr>
        <w:t>℃～</w:t>
      </w:r>
      <w:r>
        <w:rPr>
          <w:rFonts w:hint="eastAsia" w:hAnsi="宋体"/>
          <w:szCs w:val="21"/>
        </w:rPr>
        <w:t>4</w:t>
      </w:r>
      <w:r>
        <w:rPr>
          <w:szCs w:val="21"/>
        </w:rPr>
        <w:t>0</w:t>
      </w:r>
      <w:r>
        <w:rPr>
          <w:rFonts w:hAnsi="宋体"/>
          <w:szCs w:val="21"/>
        </w:rPr>
        <w:t>℃；</w:t>
      </w:r>
    </w:p>
    <w:p>
      <w:pPr>
        <w:spacing w:line="400" w:lineRule="exact"/>
        <w:jc w:val="left"/>
        <w:rPr>
          <w:szCs w:val="21"/>
        </w:rPr>
      </w:pPr>
      <w:r>
        <w:rPr>
          <w:szCs w:val="21"/>
        </w:rPr>
        <w:t xml:space="preserve">   2</w:t>
      </w:r>
      <w:r>
        <w:rPr>
          <w:rFonts w:hAnsi="宋体"/>
          <w:szCs w:val="21"/>
        </w:rPr>
        <w:t>）相对湿度</w:t>
      </w:r>
      <w:r>
        <w:rPr>
          <w:rFonts w:hint="eastAsia"/>
          <w:color w:val="000000"/>
          <w:szCs w:val="21"/>
        </w:rPr>
        <w:t>：</w:t>
      </w:r>
      <w:r>
        <w:rPr>
          <w:szCs w:val="21"/>
        </w:rPr>
        <w:t>30%</w:t>
      </w:r>
      <w:r>
        <w:rPr>
          <w:rFonts w:hAnsi="宋体"/>
          <w:szCs w:val="21"/>
        </w:rPr>
        <w:t>～</w:t>
      </w:r>
      <w:r>
        <w:rPr>
          <w:szCs w:val="21"/>
        </w:rPr>
        <w:t>80%</w:t>
      </w:r>
      <w:r>
        <w:rPr>
          <w:rFonts w:hAnsi="宋体"/>
          <w:szCs w:val="21"/>
        </w:rPr>
        <w:t>；</w:t>
      </w:r>
    </w:p>
    <w:p>
      <w:pPr>
        <w:spacing w:line="400" w:lineRule="exact"/>
        <w:jc w:val="left"/>
        <w:rPr>
          <w:szCs w:val="21"/>
        </w:rPr>
      </w:pPr>
      <w:r>
        <w:rPr>
          <w:szCs w:val="21"/>
        </w:rPr>
        <w:t xml:space="preserve">   3</w:t>
      </w:r>
      <w:r>
        <w:rPr>
          <w:rFonts w:hAnsi="宋体"/>
          <w:szCs w:val="21"/>
        </w:rPr>
        <w:t>）大气压力：</w:t>
      </w:r>
      <w:r>
        <w:rPr>
          <w:szCs w:val="21"/>
        </w:rPr>
        <w:t>86kPa-106kPa</w:t>
      </w:r>
      <w:r>
        <w:rPr>
          <w:rFonts w:hAnsi="宋体"/>
          <w:szCs w:val="21"/>
        </w:rPr>
        <w:t>；</w:t>
      </w:r>
    </w:p>
    <w:p>
      <w:pPr>
        <w:spacing w:line="400" w:lineRule="exact"/>
        <w:jc w:val="left"/>
        <w:rPr>
          <w:szCs w:val="21"/>
        </w:rPr>
      </w:pPr>
      <w:r>
        <w:rPr>
          <w:szCs w:val="21"/>
        </w:rPr>
        <w:t xml:space="preserve">   4</w:t>
      </w:r>
      <w:r>
        <w:rPr>
          <w:rFonts w:hAnsi="宋体"/>
          <w:szCs w:val="21"/>
        </w:rPr>
        <w:t>）远离强电磁场干扰源，避免强光直接照射；</w:t>
      </w:r>
    </w:p>
    <w:p>
      <w:pPr>
        <w:spacing w:line="400" w:lineRule="exact"/>
        <w:jc w:val="left"/>
        <w:rPr>
          <w:szCs w:val="21"/>
        </w:rPr>
      </w:pPr>
      <w:r>
        <w:rPr>
          <w:szCs w:val="21"/>
        </w:rPr>
        <w:t xml:space="preserve">   5</w:t>
      </w:r>
      <w:r>
        <w:rPr>
          <w:rFonts w:hAnsi="宋体"/>
          <w:szCs w:val="21"/>
        </w:rPr>
        <w:t>）工作场地防尘、防振；空气中不得含有酸、盐等腐蚀性气体；</w:t>
      </w:r>
    </w:p>
    <w:p>
      <w:pPr>
        <w:spacing w:line="400" w:lineRule="exact"/>
        <w:jc w:val="left"/>
        <w:rPr>
          <w:rFonts w:hAnsi="宋体"/>
          <w:szCs w:val="21"/>
        </w:rPr>
      </w:pPr>
      <w:r>
        <w:rPr>
          <w:szCs w:val="21"/>
        </w:rPr>
        <w:t xml:space="preserve">   6</w:t>
      </w:r>
      <w:r>
        <w:rPr>
          <w:rFonts w:hAnsi="宋体"/>
          <w:szCs w:val="21"/>
        </w:rPr>
        <w:t>）电源电压范围：</w:t>
      </w:r>
      <w:r>
        <w:rPr>
          <w:rFonts w:hint="eastAsia" w:hAnsi="宋体"/>
          <w:szCs w:val="21"/>
        </w:rPr>
        <w:t>AC220V±10%/50Hz；</w:t>
      </w:r>
    </w:p>
    <w:p>
      <w:pPr>
        <w:spacing w:line="400" w:lineRule="exact"/>
        <w:ind w:firstLine="210" w:firstLineChars="100"/>
        <w:rPr>
          <w:rFonts w:hAnsi="宋体"/>
          <w:szCs w:val="21"/>
        </w:rPr>
      </w:pPr>
      <w:r>
        <w:rPr>
          <w:rFonts w:hAnsi="宋体"/>
          <w:szCs w:val="21"/>
        </w:rPr>
        <w:t xml:space="preserve"> 7）电源频率：50Hz±1Hz；</w:t>
      </w:r>
    </w:p>
    <w:p>
      <w:pPr>
        <w:spacing w:line="400" w:lineRule="exact"/>
        <w:rPr>
          <w:rFonts w:hAnsi="宋体"/>
          <w:szCs w:val="21"/>
        </w:rPr>
      </w:pPr>
      <w:r>
        <w:rPr>
          <w:rFonts w:hAnsi="宋体"/>
          <w:szCs w:val="21"/>
        </w:rPr>
        <w:t xml:space="preserve">   8）输入功率： </w:t>
      </w:r>
      <w:r>
        <w:rPr>
          <w:rFonts w:hint="eastAsia" w:hAnsi="宋体"/>
          <w:szCs w:val="21"/>
        </w:rPr>
        <w:t>HM-800:40W； HM-12K:900W</w:t>
      </w:r>
    </w:p>
    <w:p>
      <w:pPr>
        <w:spacing w:line="400" w:lineRule="exact"/>
        <w:ind w:firstLine="315" w:firstLineChars="150"/>
        <w:rPr>
          <w:rFonts w:hAnsi="宋体"/>
          <w:szCs w:val="21"/>
        </w:rPr>
      </w:pPr>
      <w:r>
        <w:rPr>
          <w:rFonts w:hAnsi="宋体"/>
          <w:szCs w:val="21"/>
        </w:rPr>
        <w:t>9）具有良好的接地环境。</w:t>
      </w:r>
    </w:p>
    <w:p>
      <w:pPr>
        <w:spacing w:line="400" w:lineRule="exact"/>
        <w:outlineLvl w:val="2"/>
        <w:rPr>
          <w:bCs/>
          <w:kern w:val="0"/>
          <w:szCs w:val="21"/>
        </w:rPr>
      </w:pPr>
      <w:r>
        <w:rPr>
          <w:bCs/>
          <w:kern w:val="0"/>
          <w:szCs w:val="21"/>
        </w:rPr>
        <w:t xml:space="preserve">1.5.2 </w:t>
      </w:r>
      <w:r>
        <w:rPr>
          <w:rFonts w:hAnsi="宋体"/>
          <w:bCs/>
          <w:kern w:val="0"/>
          <w:szCs w:val="21"/>
        </w:rPr>
        <w:t>储存条件</w:t>
      </w:r>
    </w:p>
    <w:p>
      <w:pPr>
        <w:spacing w:line="400" w:lineRule="exact"/>
        <w:ind w:firstLine="420" w:firstLineChars="200"/>
        <w:rPr>
          <w:color w:val="000000"/>
          <w:szCs w:val="21"/>
        </w:rPr>
      </w:pPr>
      <w:r>
        <w:rPr>
          <w:rFonts w:hAnsi="宋体"/>
          <w:color w:val="000000"/>
          <w:szCs w:val="21"/>
        </w:rPr>
        <w:t>包装后的产品应贮存在温度</w:t>
      </w:r>
      <w:r>
        <w:rPr>
          <w:color w:val="000000"/>
          <w:szCs w:val="21"/>
        </w:rPr>
        <w:t>-20</w:t>
      </w:r>
      <w:r>
        <w:rPr>
          <w:rFonts w:hAnsi="宋体"/>
          <w:color w:val="000000"/>
          <w:szCs w:val="21"/>
        </w:rPr>
        <w:t>℃～</w:t>
      </w:r>
      <w:r>
        <w:rPr>
          <w:color w:val="000000"/>
          <w:szCs w:val="21"/>
        </w:rPr>
        <w:t>55</w:t>
      </w:r>
      <w:r>
        <w:rPr>
          <w:rFonts w:hAnsi="宋体"/>
          <w:color w:val="000000"/>
          <w:szCs w:val="21"/>
        </w:rPr>
        <w:t>℃、相对湿度不超过</w:t>
      </w:r>
      <w:r>
        <w:rPr>
          <w:color w:val="000000"/>
          <w:szCs w:val="21"/>
        </w:rPr>
        <w:t>93%</w:t>
      </w:r>
      <w:r>
        <w:rPr>
          <w:rFonts w:hAnsi="宋体"/>
          <w:color w:val="000000"/>
          <w:szCs w:val="21"/>
        </w:rPr>
        <w:t>、无腐蚀性气体和通风良好的室内。</w:t>
      </w:r>
    </w:p>
    <w:p>
      <w:pPr>
        <w:pStyle w:val="3"/>
        <w:rPr>
          <w:rFonts w:ascii="Times New Roman" w:hAnsi="Times New Roman"/>
        </w:rPr>
      </w:pPr>
      <w:bookmarkStart w:id="52" w:name="_Toc517943606"/>
      <w:r>
        <w:rPr>
          <w:rFonts w:ascii="Times New Roman" w:hAnsi="Times New Roman"/>
        </w:rPr>
        <w:t xml:space="preserve">1.6 </w:t>
      </w:r>
      <w:r>
        <w:rPr>
          <w:rFonts w:ascii="Times New Roman"/>
        </w:rPr>
        <w:t>外观</w:t>
      </w:r>
      <w:bookmarkEnd w:id="52"/>
    </w:p>
    <w:p>
      <w:pPr>
        <w:spacing w:line="360" w:lineRule="exact"/>
        <w:ind w:left="473" w:leftChars="225"/>
        <w:rPr>
          <w:szCs w:val="21"/>
        </w:rPr>
      </w:pPr>
      <w:r>
        <w:rPr>
          <w:szCs w:val="21"/>
        </w:rPr>
        <w:t>a</w:t>
      </w:r>
      <w:r>
        <w:rPr>
          <w:rFonts w:hAnsi="宋体"/>
          <w:szCs w:val="21"/>
        </w:rPr>
        <w:t>）文字和标志应清晰，标签粘贴牢固，不得松脱或卷边；</w:t>
      </w:r>
    </w:p>
    <w:p>
      <w:pPr>
        <w:spacing w:line="360" w:lineRule="exact"/>
        <w:ind w:left="473" w:leftChars="225"/>
        <w:rPr>
          <w:szCs w:val="21"/>
        </w:rPr>
      </w:pPr>
      <w:r>
        <w:rPr>
          <w:szCs w:val="21"/>
        </w:rPr>
        <w:t>b</w:t>
      </w:r>
      <w:r>
        <w:rPr>
          <w:rFonts w:hAnsi="宋体"/>
          <w:szCs w:val="21"/>
        </w:rPr>
        <w:t>）表面应平整、光洁、色泽均匀、无磕碰、划伤及凹凸不平等缺陷；</w:t>
      </w:r>
    </w:p>
    <w:p>
      <w:pPr>
        <w:spacing w:line="360" w:lineRule="exact"/>
        <w:ind w:left="473" w:leftChars="225"/>
        <w:rPr>
          <w:szCs w:val="21"/>
        </w:rPr>
      </w:pPr>
      <w:r>
        <w:rPr>
          <w:szCs w:val="21"/>
        </w:rPr>
        <w:t>c</w:t>
      </w:r>
      <w:r>
        <w:rPr>
          <w:rFonts w:hAnsi="宋体"/>
          <w:szCs w:val="21"/>
        </w:rPr>
        <w:t>）紧固件连接应牢固可靠，不得有松动；</w:t>
      </w:r>
    </w:p>
    <w:p>
      <w:pPr>
        <w:spacing w:line="360" w:lineRule="exact"/>
        <w:ind w:left="473" w:leftChars="225"/>
        <w:rPr>
          <w:szCs w:val="21"/>
        </w:rPr>
      </w:pPr>
      <w:r>
        <w:rPr>
          <w:szCs w:val="21"/>
        </w:rPr>
        <w:t>d</w:t>
      </w:r>
      <w:r>
        <w:rPr>
          <w:rFonts w:hAnsi="宋体"/>
          <w:szCs w:val="21"/>
        </w:rPr>
        <w:t>）运动部件应平稳，不应卡住、突跳及显著空回，键组回跳应灵活。</w:t>
      </w:r>
    </w:p>
    <w:p>
      <w:pPr>
        <w:pStyle w:val="3"/>
        <w:rPr>
          <w:rFonts w:ascii="Times New Roman" w:hAnsi="Times New Roman"/>
        </w:rPr>
      </w:pPr>
      <w:bookmarkStart w:id="53" w:name="_Toc517943607"/>
      <w:r>
        <w:rPr>
          <w:rFonts w:ascii="Times New Roman" w:hAnsi="Times New Roman"/>
        </w:rPr>
        <w:t xml:space="preserve">1.7 </w:t>
      </w:r>
      <w:r>
        <w:rPr>
          <w:rFonts w:ascii="Times New Roman"/>
        </w:rPr>
        <w:t>波长准确度</w:t>
      </w:r>
      <w:bookmarkEnd w:id="53"/>
    </w:p>
    <w:p>
      <w:pPr>
        <w:spacing w:line="400" w:lineRule="exact"/>
        <w:ind w:firstLine="525" w:firstLineChars="250"/>
        <w:rPr>
          <w:szCs w:val="21"/>
        </w:rPr>
      </w:pPr>
      <w:r>
        <w:rPr>
          <w:rFonts w:hint="eastAsia" w:hAnsi="宋体"/>
          <w:szCs w:val="21"/>
        </w:rPr>
        <w:t>波长</w:t>
      </w:r>
      <w:r>
        <w:rPr>
          <w:rFonts w:hAnsi="宋体"/>
          <w:color w:val="000000"/>
          <w:szCs w:val="21"/>
        </w:rPr>
        <w:t>准确度应不超过</w:t>
      </w:r>
      <w:r>
        <w:rPr>
          <w:szCs w:val="21"/>
        </w:rPr>
        <w:t>±</w:t>
      </w:r>
      <w:r>
        <w:rPr>
          <w:rFonts w:hint="eastAsia"/>
          <w:szCs w:val="21"/>
        </w:rPr>
        <w:t>1</w:t>
      </w:r>
      <w:r>
        <w:rPr>
          <w:szCs w:val="21"/>
        </w:rPr>
        <w:t>nm</w:t>
      </w:r>
      <w:r>
        <w:rPr>
          <w:rFonts w:hAnsi="宋体"/>
          <w:szCs w:val="21"/>
        </w:rPr>
        <w:t>。</w:t>
      </w:r>
    </w:p>
    <w:p>
      <w:pPr>
        <w:pStyle w:val="3"/>
        <w:rPr>
          <w:rFonts w:ascii="Times New Roman" w:hAnsi="Times New Roman"/>
        </w:rPr>
      </w:pPr>
      <w:bookmarkStart w:id="54" w:name="_Toc517943608"/>
      <w:r>
        <w:rPr>
          <w:rFonts w:ascii="Times New Roman" w:hAnsi="Times New Roman"/>
        </w:rPr>
        <w:t xml:space="preserve">1.8 </w:t>
      </w:r>
      <w:r>
        <w:rPr>
          <w:rFonts w:ascii="Times New Roman"/>
        </w:rPr>
        <w:t>吸光度准确度</w:t>
      </w:r>
      <w:bookmarkEnd w:id="54"/>
    </w:p>
    <w:p>
      <w:pPr>
        <w:spacing w:line="400" w:lineRule="exact"/>
        <w:ind w:firstLine="420" w:firstLineChars="200"/>
        <w:jc w:val="left"/>
        <w:rPr>
          <w:szCs w:val="21"/>
        </w:rPr>
      </w:pPr>
      <w:r>
        <w:rPr>
          <w:rFonts w:hAnsi="宋体"/>
          <w:szCs w:val="21"/>
        </w:rPr>
        <w:t>分析仪检测的吸光度准确度应符合下表的规定</w:t>
      </w:r>
      <w:r>
        <w:rPr>
          <w:szCs w:val="21"/>
        </w:rPr>
        <w:t>:</w:t>
      </w:r>
    </w:p>
    <w:tbl>
      <w:tblPr>
        <w:tblStyle w:val="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6"/>
        <w:gridCol w:w="5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936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吸光度范围</w:t>
            </w:r>
          </w:p>
        </w:tc>
        <w:tc>
          <w:tcPr>
            <w:tcW w:w="5386" w:type="dxa"/>
            <w:vAlign w:val="center"/>
          </w:tcPr>
          <w:p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准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确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度</w:t>
            </w:r>
            <w:r>
              <w:rPr>
                <w:szCs w:val="21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3936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0.000~≤0.500</w:t>
            </w:r>
          </w:p>
        </w:tc>
        <w:tc>
          <w:tcPr>
            <w:tcW w:w="5386" w:type="dxa"/>
            <w:vAlign w:val="center"/>
          </w:tcPr>
          <w:p>
            <w:pPr>
              <w:spacing w:line="360" w:lineRule="exact"/>
              <w:ind w:firstLine="2310" w:firstLineChars="1100"/>
              <w:rPr>
                <w:szCs w:val="21"/>
              </w:rPr>
            </w:pPr>
            <w:r>
              <w:rPr>
                <w:szCs w:val="21"/>
              </w:rPr>
              <w:t>±0.005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3936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＞</w:t>
            </w:r>
            <w:r>
              <w:rPr>
                <w:color w:val="000000"/>
                <w:szCs w:val="21"/>
              </w:rPr>
              <w:t>0.500~≤1.000</w:t>
            </w:r>
          </w:p>
        </w:tc>
        <w:tc>
          <w:tcPr>
            <w:tcW w:w="5386" w:type="dxa"/>
            <w:vAlign w:val="center"/>
          </w:tcPr>
          <w:p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±0.01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3936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＞</w:t>
            </w:r>
            <w:r>
              <w:rPr>
                <w:color w:val="000000"/>
                <w:szCs w:val="21"/>
              </w:rPr>
              <w:t>1.000~≤2.000</w:t>
            </w:r>
          </w:p>
        </w:tc>
        <w:tc>
          <w:tcPr>
            <w:tcW w:w="5386" w:type="dxa"/>
            <w:vAlign w:val="center"/>
          </w:tcPr>
          <w:p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±0.02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3936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＞</w:t>
            </w:r>
            <w:r>
              <w:rPr>
                <w:color w:val="000000"/>
                <w:szCs w:val="21"/>
              </w:rPr>
              <w:t>2.000~≤3.000</w:t>
            </w:r>
          </w:p>
        </w:tc>
        <w:tc>
          <w:tcPr>
            <w:tcW w:w="5386" w:type="dxa"/>
            <w:vAlign w:val="center"/>
          </w:tcPr>
          <w:p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±0.03</w:t>
            </w:r>
          </w:p>
        </w:tc>
      </w:tr>
    </w:tbl>
    <w:p>
      <w:pPr>
        <w:pStyle w:val="3"/>
        <w:rPr>
          <w:rFonts w:ascii="Times New Roman" w:hAnsi="Times New Roman"/>
        </w:rPr>
      </w:pPr>
      <w:bookmarkStart w:id="55" w:name="_Toc517943609"/>
      <w:r>
        <w:rPr>
          <w:rFonts w:ascii="Times New Roman" w:hAnsi="Times New Roman"/>
        </w:rPr>
        <w:t>1.9</w:t>
      </w:r>
      <w:r>
        <w:rPr>
          <w:rFonts w:ascii="Times New Roman"/>
        </w:rPr>
        <w:t>线性误差</w:t>
      </w:r>
      <w:bookmarkEnd w:id="55"/>
    </w:p>
    <w:p>
      <w:pPr>
        <w:pStyle w:val="7"/>
        <w:adjustRightInd w:val="0"/>
        <w:spacing w:line="360" w:lineRule="auto"/>
        <w:ind w:firstLine="420"/>
        <w:rPr>
          <w:rFonts w:ascii="Times New Roman" w:hAnsi="Times New Roman"/>
          <w:sz w:val="21"/>
          <w:szCs w:val="21"/>
        </w:rPr>
      </w:pPr>
      <w:r>
        <w:rPr>
          <w:rFonts w:ascii="Times New Roman"/>
          <w:sz w:val="21"/>
          <w:szCs w:val="21"/>
        </w:rPr>
        <w:t>在吸光度值为</w:t>
      </w:r>
      <w:r>
        <w:rPr>
          <w:rFonts w:ascii="Times New Roman" w:hAnsi="Times New Roman"/>
          <w:sz w:val="21"/>
          <w:szCs w:val="21"/>
        </w:rPr>
        <w:t>0</w:t>
      </w:r>
      <w:r>
        <w:rPr>
          <w:rFonts w:ascii="Times New Roman"/>
          <w:sz w:val="21"/>
          <w:szCs w:val="21"/>
        </w:rPr>
        <w:t>～</w:t>
      </w:r>
      <w:r>
        <w:rPr>
          <w:rFonts w:ascii="Times New Roman" w:hAnsi="Times New Roman"/>
          <w:sz w:val="21"/>
          <w:szCs w:val="21"/>
        </w:rPr>
        <w:t>3.000</w:t>
      </w:r>
      <w:r>
        <w:rPr>
          <w:rFonts w:ascii="Times New Roman"/>
          <w:sz w:val="21"/>
          <w:szCs w:val="21"/>
        </w:rPr>
        <w:t>范围内，分析仪的检测线性相关系数（</w:t>
      </w:r>
      <w:r>
        <w:rPr>
          <w:rFonts w:ascii="Times New Roman" w:hAnsi="Times New Roman"/>
          <w:sz w:val="21"/>
          <w:szCs w:val="21"/>
        </w:rPr>
        <w:t>r</w:t>
      </w:r>
      <w:r>
        <w:rPr>
          <w:rFonts w:ascii="Times New Roman"/>
          <w:sz w:val="21"/>
          <w:szCs w:val="21"/>
        </w:rPr>
        <w:t>）不低于</w:t>
      </w:r>
      <w:r>
        <w:rPr>
          <w:rFonts w:ascii="Times New Roman" w:hAnsi="Times New Roman"/>
          <w:sz w:val="21"/>
          <w:szCs w:val="21"/>
        </w:rPr>
        <w:t xml:space="preserve">0.995 </w:t>
      </w:r>
      <w:r>
        <w:rPr>
          <w:rFonts w:ascii="Times New Roman"/>
          <w:sz w:val="21"/>
          <w:szCs w:val="21"/>
        </w:rPr>
        <w:t>。</w:t>
      </w:r>
    </w:p>
    <w:p>
      <w:pPr>
        <w:pStyle w:val="3"/>
        <w:rPr>
          <w:rFonts w:ascii="Times New Roman" w:hAnsi="Times New Roman"/>
        </w:rPr>
      </w:pPr>
      <w:bookmarkStart w:id="56" w:name="_Toc517943610"/>
      <w:r>
        <w:rPr>
          <w:rFonts w:ascii="Times New Roman" w:hAnsi="Times New Roman"/>
        </w:rPr>
        <w:t>1.10</w:t>
      </w:r>
      <w:r>
        <w:rPr>
          <w:rFonts w:ascii="Times New Roman"/>
        </w:rPr>
        <w:t>吸光度重复性</w:t>
      </w:r>
      <w:bookmarkEnd w:id="56"/>
    </w:p>
    <w:p>
      <w:pPr>
        <w:pStyle w:val="7"/>
        <w:adjustRightInd w:val="0"/>
        <w:spacing w:line="360" w:lineRule="exact"/>
        <w:ind w:firstLine="420"/>
        <w:rPr>
          <w:rFonts w:ascii="Times New Roman" w:hAnsi="Times New Roman"/>
          <w:sz w:val="21"/>
          <w:szCs w:val="21"/>
        </w:rPr>
      </w:pPr>
      <w:r>
        <w:rPr>
          <w:rFonts w:ascii="Times New Roman"/>
          <w:sz w:val="21"/>
          <w:szCs w:val="21"/>
        </w:rPr>
        <w:t>分析仪的重复性测量的变异系数（</w:t>
      </w:r>
      <w:r>
        <w:rPr>
          <w:rFonts w:ascii="Times New Roman" w:hAnsi="Times New Roman"/>
          <w:sz w:val="21"/>
          <w:szCs w:val="21"/>
        </w:rPr>
        <w:t>CV</w:t>
      </w:r>
      <w:r>
        <w:rPr>
          <w:rFonts w:ascii="Times New Roman"/>
          <w:sz w:val="21"/>
          <w:szCs w:val="21"/>
        </w:rPr>
        <w:t>）应不大于</w:t>
      </w:r>
      <w:r>
        <w:rPr>
          <w:rFonts w:ascii="Times New Roman" w:hAnsi="Times New Roman"/>
          <w:color w:val="000000"/>
          <w:sz w:val="21"/>
          <w:szCs w:val="21"/>
        </w:rPr>
        <w:t>≤0.5%</w:t>
      </w:r>
      <w:r>
        <w:rPr>
          <w:rFonts w:ascii="Times New Roman"/>
          <w:sz w:val="21"/>
          <w:szCs w:val="21"/>
        </w:rPr>
        <w:t>。</w:t>
      </w:r>
    </w:p>
    <w:p>
      <w:pPr>
        <w:pStyle w:val="3"/>
        <w:rPr>
          <w:rFonts w:ascii="Times New Roman" w:hAnsi="Times New Roman"/>
        </w:rPr>
      </w:pPr>
      <w:bookmarkStart w:id="57" w:name="_Toc517943611"/>
      <w:r>
        <w:rPr>
          <w:rFonts w:ascii="Times New Roman" w:hAnsi="Times New Roman"/>
        </w:rPr>
        <w:t xml:space="preserve">1.11 </w:t>
      </w:r>
      <w:r>
        <w:rPr>
          <w:rFonts w:ascii="Times New Roman"/>
        </w:rPr>
        <w:t>吸光度稳定性</w:t>
      </w:r>
      <w:bookmarkEnd w:id="57"/>
    </w:p>
    <w:p>
      <w:pPr>
        <w:spacing w:line="400" w:lineRule="exact"/>
        <w:ind w:firstLine="420" w:firstLineChars="200"/>
        <w:jc w:val="left"/>
        <w:rPr>
          <w:szCs w:val="21"/>
        </w:rPr>
      </w:pPr>
      <w:r>
        <w:rPr>
          <w:rFonts w:hAnsi="宋体"/>
          <w:color w:val="000000"/>
          <w:szCs w:val="21"/>
        </w:rPr>
        <w:t>系列分析仪吸光度的稳定性</w:t>
      </w:r>
      <w:r>
        <w:rPr>
          <w:rFonts w:hAnsi="宋体"/>
          <w:szCs w:val="21"/>
        </w:rPr>
        <w:t>不超过</w:t>
      </w:r>
      <w:r>
        <w:rPr>
          <w:szCs w:val="21"/>
        </w:rPr>
        <w:t>±</w:t>
      </w:r>
      <w:r>
        <w:rPr>
          <w:color w:val="000000"/>
          <w:szCs w:val="21"/>
        </w:rPr>
        <w:t>0.005</w:t>
      </w:r>
      <w:r>
        <w:rPr>
          <w:rFonts w:hAnsi="宋体"/>
          <w:color w:val="000000"/>
          <w:szCs w:val="21"/>
        </w:rPr>
        <w:t>；</w:t>
      </w:r>
    </w:p>
    <w:p>
      <w:pPr>
        <w:pStyle w:val="3"/>
        <w:rPr>
          <w:rFonts w:ascii="Times New Roman" w:hAnsi="Times New Roman"/>
        </w:rPr>
      </w:pPr>
      <w:bookmarkStart w:id="58" w:name="_Toc517943612"/>
      <w:r>
        <w:rPr>
          <w:rFonts w:ascii="Times New Roman" w:hAnsi="Times New Roman"/>
        </w:rPr>
        <w:t>1.1</w:t>
      </w:r>
      <w:r>
        <w:rPr>
          <w:rFonts w:hint="eastAsia" w:ascii="Times New Roman" w:hAnsi="Times New Roman"/>
        </w:rPr>
        <w:t>2</w:t>
      </w:r>
      <w:r>
        <w:rPr>
          <w:rFonts w:ascii="Times New Roman"/>
        </w:rPr>
        <w:t>主要功能</w:t>
      </w:r>
      <w:bookmarkEnd w:id="58"/>
    </w:p>
    <w:p>
      <w:pPr>
        <w:spacing w:line="400" w:lineRule="exact"/>
        <w:ind w:firstLine="465"/>
        <w:rPr>
          <w:color w:val="000000"/>
          <w:szCs w:val="21"/>
        </w:rPr>
      </w:pPr>
      <w:r>
        <w:rPr>
          <w:rFonts w:hAnsi="宋体"/>
          <w:color w:val="000000"/>
          <w:szCs w:val="21"/>
        </w:rPr>
        <w:t>仪器的</w:t>
      </w:r>
      <w:r>
        <w:rPr>
          <w:rFonts w:hint="eastAsia" w:hAnsi="宋体"/>
          <w:color w:val="000000"/>
          <w:szCs w:val="21"/>
        </w:rPr>
        <w:t>扩展项目测定</w:t>
      </w:r>
      <w:r>
        <w:rPr>
          <w:rFonts w:hAnsi="宋体"/>
          <w:color w:val="000000"/>
          <w:szCs w:val="21"/>
        </w:rPr>
        <w:t>见下表</w:t>
      </w:r>
      <w:r>
        <w:rPr>
          <w:rFonts w:hint="eastAsia" w:hAnsi="宋体"/>
          <w:color w:val="000000"/>
          <w:szCs w:val="21"/>
        </w:rPr>
        <w:t>。</w:t>
      </w:r>
    </w:p>
    <w:tbl>
      <w:tblPr>
        <w:tblStyle w:val="23"/>
        <w:tblpPr w:leftFromText="180" w:rightFromText="180" w:vertAnchor="text" w:horzAnchor="page" w:tblpXSpec="center" w:tblpY="223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3"/>
        <w:gridCol w:w="1149"/>
        <w:gridCol w:w="5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b/>
                <w:sz w:val="20"/>
                <w:szCs w:val="18"/>
              </w:rPr>
            </w:pPr>
            <w:r>
              <w:rPr>
                <w:rFonts w:hint="eastAsia"/>
                <w:b/>
                <w:sz w:val="20"/>
                <w:szCs w:val="18"/>
              </w:rPr>
              <w:t>项目</w:t>
            </w:r>
          </w:p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b/>
                <w:sz w:val="20"/>
                <w:szCs w:val="18"/>
              </w:rPr>
            </w:pPr>
            <w:r>
              <w:rPr>
                <w:rFonts w:hint="eastAsia"/>
                <w:b/>
                <w:sz w:val="20"/>
                <w:szCs w:val="18"/>
              </w:rPr>
              <w:t>测量项目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b/>
                <w:sz w:val="20"/>
                <w:szCs w:val="18"/>
              </w:rPr>
            </w:pPr>
            <w:r>
              <w:rPr>
                <w:rFonts w:hint="eastAsia"/>
                <w:b/>
                <w:sz w:val="20"/>
                <w:szCs w:val="18"/>
              </w:rPr>
              <w:t>单位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b/>
                <w:sz w:val="20"/>
                <w:szCs w:val="18"/>
              </w:rPr>
            </w:pPr>
            <w:r>
              <w:rPr>
                <w:rFonts w:hint="eastAsia"/>
                <w:b/>
                <w:sz w:val="20"/>
                <w:szCs w:val="18"/>
              </w:rPr>
              <w:t>测定方法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色度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度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铂钴色系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浊度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度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总铬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高锰酸钾氧化-二苯碳酰二肼分光光度法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六价铬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二苯碳酰二肼分光光度法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苯胺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乙二胺偶氮光度法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甲醛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乙酰丙酮光度法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亚硝酸盐氮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N-(1-萘基)-乙二胺光度法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硝酸盐氮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酚二磺酸光度法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总氮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碱性过硫酸钾消解紫外分光光度法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硫化物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对氨基二甲基苯胺光度法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硫酸盐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铬酸钡光度法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氟化物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氟试剂分光光度法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氰化物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异烟酸</w:t>
            </w:r>
            <w:r>
              <w:rPr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</w:rPr>
              <w:t>巴比妥酸分光光度法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碘化物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催化比色法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硝基苯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钽试剂萃取分光光度法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挥发酚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4-氨基安替比林萃取光度法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磷酸盐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钼酸铵分光光度法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余氯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ind w:firstLine="1170" w:firstLineChars="6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N，N－二乙基－1，4－苯二胺光度法</w:t>
            </w:r>
          </w:p>
          <w:tbl>
            <w:tblPr>
              <w:tblStyle w:val="23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71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" w:hRule="atLeast"/>
              </w:trPr>
              <w:tc>
                <w:tcPr>
                  <w:tcW w:w="3271" w:type="dxa"/>
                </w:tcPr>
                <w:p>
                  <w:pPr>
                    <w:pStyle w:val="6"/>
                    <w:tabs>
                      <w:tab w:val="left" w:pos="1143"/>
                      <w:tab w:val="left" w:pos="1774"/>
                    </w:tabs>
                    <w:kinsoku w:val="0"/>
                    <w:overflowPunct w:val="0"/>
                    <w:spacing w:line="360" w:lineRule="auto"/>
                    <w:rPr>
                      <w:sz w:val="18"/>
                      <w:szCs w:val="18"/>
                    </w:rPr>
                  </w:pPr>
                </w:p>
              </w:tc>
            </w:tr>
          </w:tbl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总氯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ind w:firstLine="1170" w:firstLineChars="6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N，N－二乙基－1，4－苯二胺光度法</w:t>
            </w:r>
          </w:p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ind w:firstLine="1170" w:firstLineChars="65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铁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邻菲罗啉光度法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锌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双硫腙分光光度法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铜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二乙氨基二硫代甲酸钠萃取光度法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镍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丁二酮肟光度法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铅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双硫腙分光光度法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银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3，5-Br2-PADAP法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镉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镉试剂分光光度法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锰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高碘酸钾氧化光度法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铍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活性炭吸附铬菁S光度法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硼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姜黄素光度法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钡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铬酸盐间接分光光度法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锑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5-Br-PADAP光度法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汞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双硫腙光度法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砷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mg/L</w:t>
            </w:r>
          </w:p>
        </w:tc>
        <w:tc>
          <w:tcPr>
            <w:tcW w:w="5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143"/>
                <w:tab w:val="left" w:pos="1774"/>
              </w:tabs>
              <w:kinsoku w:val="0"/>
              <w:overflowPunct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二乙基二硫代氨基甲酸银分光光度法</w:t>
            </w:r>
          </w:p>
        </w:tc>
      </w:tr>
      <w:bookmarkEnd w:id="10"/>
      <w:bookmarkEnd w:id="11"/>
    </w:tbl>
    <w:p>
      <w:pPr>
        <w:pStyle w:val="3"/>
        <w:rPr>
          <w:rFonts w:ascii="Times New Roman" w:hAnsi="Times New Roman"/>
        </w:rPr>
      </w:pPr>
      <w:bookmarkStart w:id="59" w:name="_Toc4747"/>
      <w:bookmarkStart w:id="60" w:name="_Toc484618051"/>
      <w:bookmarkStart w:id="61" w:name="_Toc484445307"/>
      <w:bookmarkStart w:id="62" w:name="_Toc517943613"/>
      <w:bookmarkStart w:id="63" w:name="_Toc19594"/>
      <w:r>
        <w:rPr>
          <w:rFonts w:ascii="Times New Roman" w:hAnsi="Times New Roman"/>
        </w:rPr>
        <w:t>1.1</w:t>
      </w:r>
      <w:r>
        <w:rPr>
          <w:rFonts w:hint="eastAsia" w:ascii="Times New Roman" w:hAnsi="Times New Roman"/>
        </w:rPr>
        <w:t>3</w:t>
      </w:r>
      <w:r>
        <w:rPr>
          <w:rFonts w:ascii="Times New Roman" w:hAnsi="Times New Roman"/>
        </w:rPr>
        <w:t xml:space="preserve"> </w:t>
      </w:r>
      <w:r>
        <w:rPr>
          <w:rFonts w:ascii="Times New Roman"/>
        </w:rPr>
        <w:t>安全要求</w:t>
      </w:r>
      <w:bookmarkEnd w:id="59"/>
      <w:bookmarkEnd w:id="60"/>
      <w:bookmarkEnd w:id="61"/>
      <w:bookmarkEnd w:id="62"/>
    </w:p>
    <w:p>
      <w:pPr>
        <w:ind w:firstLine="480"/>
        <w:rPr>
          <w:szCs w:val="21"/>
        </w:rPr>
      </w:pPr>
      <w:r>
        <w:rPr>
          <w:rFonts w:hAnsi="宋体"/>
          <w:szCs w:val="21"/>
        </w:rPr>
        <w:t>设备的额定污染等级：</w:t>
      </w:r>
      <w:r>
        <w:rPr>
          <w:szCs w:val="21"/>
        </w:rPr>
        <w:t>2</w:t>
      </w:r>
      <w:r>
        <w:rPr>
          <w:rFonts w:hAnsi="宋体"/>
          <w:szCs w:val="21"/>
        </w:rPr>
        <w:t>级；</w:t>
      </w:r>
      <w:r>
        <w:rPr>
          <w:szCs w:val="21"/>
        </w:rPr>
        <w:t xml:space="preserve"> </w:t>
      </w:r>
      <w:r>
        <w:rPr>
          <w:rFonts w:hAnsi="宋体"/>
          <w:szCs w:val="21"/>
        </w:rPr>
        <w:t>瞬态过电压类别：Ⅱ类。</w:t>
      </w:r>
    </w:p>
    <w:p>
      <w:pPr>
        <w:ind w:firstLine="480"/>
        <w:rPr>
          <w:szCs w:val="21"/>
        </w:rPr>
      </w:pPr>
      <w:r>
        <w:rPr>
          <w:rFonts w:hAnsi="宋体"/>
          <w:szCs w:val="21"/>
        </w:rPr>
        <w:t>应符合</w:t>
      </w:r>
      <w:r>
        <w:rPr>
          <w:szCs w:val="21"/>
        </w:rPr>
        <w:t>GB 4793.1-2007</w:t>
      </w:r>
      <w:r>
        <w:rPr>
          <w:rFonts w:hAnsi="宋体"/>
          <w:szCs w:val="21"/>
        </w:rPr>
        <w:t>《</w:t>
      </w:r>
      <w:r>
        <w:rPr>
          <w:rFonts w:hAnsi="宋体"/>
          <w:bCs/>
          <w:color w:val="000000"/>
          <w:szCs w:val="21"/>
          <w:shd w:val="clear" w:color="auto" w:fill="F8F8F8"/>
        </w:rPr>
        <w:t>测量、控制和实验室用电气设备的安全要求</w:t>
      </w:r>
      <w:r>
        <w:rPr>
          <w:bCs/>
          <w:color w:val="000000"/>
          <w:szCs w:val="21"/>
          <w:shd w:val="clear" w:color="auto" w:fill="F8F8F8"/>
        </w:rPr>
        <w:t xml:space="preserve"> </w:t>
      </w:r>
      <w:r>
        <w:rPr>
          <w:rFonts w:hAnsi="宋体"/>
          <w:bCs/>
          <w:color w:val="000000"/>
          <w:szCs w:val="21"/>
          <w:shd w:val="clear" w:color="auto" w:fill="F8F8F8"/>
        </w:rPr>
        <w:t>第</w:t>
      </w:r>
      <w:r>
        <w:rPr>
          <w:bCs/>
          <w:color w:val="000000"/>
          <w:szCs w:val="21"/>
          <w:shd w:val="clear" w:color="auto" w:fill="F8F8F8"/>
        </w:rPr>
        <w:t>1</w:t>
      </w:r>
      <w:r>
        <w:rPr>
          <w:rFonts w:hAnsi="宋体"/>
          <w:bCs/>
          <w:color w:val="000000"/>
          <w:szCs w:val="21"/>
          <w:shd w:val="clear" w:color="auto" w:fill="F8F8F8"/>
        </w:rPr>
        <w:t>部分：通用要求》</w:t>
      </w:r>
      <w:r>
        <w:rPr>
          <w:rFonts w:hAnsi="宋体"/>
          <w:szCs w:val="21"/>
        </w:rPr>
        <w:t>、</w:t>
      </w:r>
      <w:r>
        <w:rPr>
          <w:szCs w:val="21"/>
        </w:rPr>
        <w:t>GB 4793.9-2013</w:t>
      </w:r>
      <w:r>
        <w:rPr>
          <w:rFonts w:hAnsi="宋体"/>
          <w:szCs w:val="21"/>
        </w:rPr>
        <w:t>《</w:t>
      </w:r>
      <w:r>
        <w:rPr>
          <w:rFonts w:hAnsi="宋体"/>
          <w:color w:val="000000"/>
          <w:szCs w:val="21"/>
        </w:rPr>
        <w:t>测量、控制和实验室用电气设备的安全要求</w:t>
      </w:r>
      <w:r>
        <w:rPr>
          <w:color w:val="000000"/>
          <w:szCs w:val="21"/>
        </w:rPr>
        <w:t xml:space="preserve"> </w:t>
      </w:r>
      <w:r>
        <w:rPr>
          <w:rFonts w:hAnsi="宋体"/>
          <w:color w:val="000000"/>
          <w:szCs w:val="21"/>
        </w:rPr>
        <w:t>第</w:t>
      </w:r>
      <w:r>
        <w:rPr>
          <w:color w:val="000000"/>
          <w:szCs w:val="21"/>
        </w:rPr>
        <w:t>9</w:t>
      </w:r>
      <w:r>
        <w:rPr>
          <w:rFonts w:hAnsi="宋体"/>
          <w:color w:val="000000"/>
          <w:szCs w:val="21"/>
        </w:rPr>
        <w:t>部分：实验室用分析和其他目的自动和半自动设备的特殊要求》</w:t>
      </w:r>
      <w:r>
        <w:rPr>
          <w:rFonts w:hAnsi="宋体"/>
          <w:szCs w:val="21"/>
        </w:rPr>
        <w:t>中适用条款的要求。</w:t>
      </w:r>
    </w:p>
    <w:p>
      <w:pPr>
        <w:pStyle w:val="3"/>
        <w:rPr>
          <w:rFonts w:ascii="Times New Roman" w:hAnsi="Times New Roman"/>
        </w:rPr>
      </w:pPr>
      <w:bookmarkStart w:id="64" w:name="_Toc484445308"/>
      <w:bookmarkStart w:id="65" w:name="_Toc24605"/>
      <w:bookmarkStart w:id="66" w:name="_Toc484618052"/>
      <w:bookmarkStart w:id="67" w:name="_Toc517943614"/>
      <w:r>
        <w:rPr>
          <w:rFonts w:ascii="Times New Roman" w:hAnsi="Times New Roman"/>
        </w:rPr>
        <w:t>1.1</w:t>
      </w:r>
      <w:bookmarkEnd w:id="64"/>
      <w:bookmarkEnd w:id="65"/>
      <w:bookmarkEnd w:id="66"/>
      <w:r>
        <w:rPr>
          <w:rFonts w:hint="eastAsia" w:ascii="Times New Roman" w:hAnsi="Times New Roman"/>
        </w:rPr>
        <w:t>4</w:t>
      </w:r>
      <w:r>
        <w:rPr>
          <w:rFonts w:ascii="Times New Roman"/>
        </w:rPr>
        <w:t>电磁兼容性要求</w:t>
      </w:r>
      <w:bookmarkEnd w:id="67"/>
    </w:p>
    <w:p>
      <w:pPr>
        <w:ind w:firstLine="420" w:firstLineChars="200"/>
        <w:rPr>
          <w:kern w:val="0"/>
          <w:szCs w:val="21"/>
        </w:rPr>
      </w:pPr>
      <w:r>
        <w:rPr>
          <w:rFonts w:hAnsi="宋体"/>
          <w:kern w:val="0"/>
          <w:szCs w:val="21"/>
        </w:rPr>
        <w:t>分组分类属于</w:t>
      </w:r>
      <w:r>
        <w:rPr>
          <w:kern w:val="0"/>
          <w:szCs w:val="21"/>
        </w:rPr>
        <w:t>:1</w:t>
      </w:r>
      <w:r>
        <w:rPr>
          <w:rFonts w:hAnsi="宋体"/>
          <w:kern w:val="0"/>
          <w:szCs w:val="21"/>
        </w:rPr>
        <w:t>组</w:t>
      </w:r>
      <w:r>
        <w:rPr>
          <w:kern w:val="0"/>
          <w:szCs w:val="21"/>
        </w:rPr>
        <w:t>A</w:t>
      </w:r>
      <w:r>
        <w:rPr>
          <w:rFonts w:hAnsi="宋体"/>
          <w:kern w:val="0"/>
          <w:szCs w:val="21"/>
        </w:rPr>
        <w:t>类。应符合</w:t>
      </w:r>
      <w:r>
        <w:rPr>
          <w:kern w:val="0"/>
          <w:szCs w:val="21"/>
        </w:rPr>
        <w:t>GB/T 18268.1-2010</w:t>
      </w:r>
      <w:r>
        <w:rPr>
          <w:rFonts w:hAnsi="宋体"/>
          <w:kern w:val="0"/>
          <w:szCs w:val="21"/>
        </w:rPr>
        <w:t>《测量、控制和实验室用的电设备　电磁兼容性要求　第</w:t>
      </w:r>
      <w:r>
        <w:rPr>
          <w:kern w:val="0"/>
          <w:szCs w:val="21"/>
        </w:rPr>
        <w:t>1</w:t>
      </w:r>
      <w:r>
        <w:rPr>
          <w:rFonts w:hAnsi="宋体"/>
          <w:kern w:val="0"/>
          <w:szCs w:val="21"/>
        </w:rPr>
        <w:t>部分：通用要求》中适用条款的要求。</w:t>
      </w:r>
    </w:p>
    <w:p>
      <w:pPr>
        <w:ind w:left="480"/>
        <w:rPr>
          <w:sz w:val="24"/>
        </w:rPr>
      </w:pPr>
    </w:p>
    <w:p>
      <w:pPr>
        <w:spacing w:line="360" w:lineRule="auto"/>
        <w:ind w:right="458" w:rightChars="218"/>
        <w:jc w:val="left"/>
        <w:rPr>
          <w:sz w:val="24"/>
        </w:rPr>
      </w:pPr>
      <w:r>
        <w:rPr>
          <w:sz w:val="24"/>
        </w:rPr>
        <w:drawing>
          <wp:inline distT="0" distB="0" distL="0" distR="0">
            <wp:extent cx="301625" cy="207010"/>
            <wp:effectExtent l="19050" t="0" r="3175" b="0"/>
            <wp:docPr id="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9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1625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 w:val="24"/>
        </w:rPr>
        <w:t>警示</w:t>
      </w:r>
    </w:p>
    <w:p>
      <w:pPr>
        <w:spacing w:line="360" w:lineRule="auto"/>
        <w:ind w:right="-23" w:rightChars="-11" w:firstLine="600" w:firstLineChars="250"/>
        <w:jc w:val="left"/>
        <w:rPr>
          <w:sz w:val="24"/>
        </w:rPr>
      </w:pPr>
      <w:r>
        <w:rPr>
          <w:rFonts w:hAnsi="宋体"/>
          <w:sz w:val="24"/>
        </w:rPr>
        <w:t>用户有责任确保设备的电磁兼容环境，使设备能正常工作。</w:t>
      </w:r>
    </w:p>
    <w:p>
      <w:pPr>
        <w:spacing w:line="360" w:lineRule="auto"/>
        <w:ind w:right="-23" w:rightChars="-11" w:firstLine="600" w:firstLineChars="250"/>
        <w:jc w:val="left"/>
        <w:rPr>
          <w:sz w:val="24"/>
        </w:rPr>
      </w:pPr>
      <w:r>
        <w:rPr>
          <w:rFonts w:hAnsi="宋体"/>
          <w:sz w:val="24"/>
        </w:rPr>
        <w:t>建议在设备使用之前评估电磁环境。</w:t>
      </w:r>
    </w:p>
    <w:p>
      <w:pPr>
        <w:spacing w:line="360" w:lineRule="auto"/>
        <w:ind w:right="458" w:rightChars="218"/>
        <w:jc w:val="left"/>
        <w:rPr>
          <w:sz w:val="24"/>
        </w:rPr>
      </w:pPr>
      <w:r>
        <w:rPr>
          <w:sz w:val="24"/>
        </w:rPr>
        <w:drawing>
          <wp:inline distT="0" distB="0" distL="0" distR="0">
            <wp:extent cx="301625" cy="207010"/>
            <wp:effectExtent l="19050" t="0" r="3175" b="0"/>
            <wp:docPr id="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1625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 w:val="24"/>
        </w:rPr>
        <w:t>警示</w:t>
      </w:r>
    </w:p>
    <w:p>
      <w:pPr>
        <w:rPr>
          <w:sz w:val="24"/>
        </w:rPr>
      </w:pPr>
      <w:r>
        <w:rPr>
          <w:rFonts w:hAnsi="宋体"/>
          <w:sz w:val="24"/>
        </w:rPr>
        <w:t>禁止在强辐射源</w:t>
      </w:r>
      <w:r>
        <w:rPr>
          <w:sz w:val="24"/>
        </w:rPr>
        <w:t>(</w:t>
      </w:r>
      <w:r>
        <w:rPr>
          <w:rFonts w:hAnsi="宋体"/>
          <w:sz w:val="24"/>
        </w:rPr>
        <w:t>例如非屏蔽的射频源</w:t>
      </w:r>
      <w:r>
        <w:rPr>
          <w:sz w:val="24"/>
        </w:rPr>
        <w:t>)</w:t>
      </w:r>
      <w:r>
        <w:rPr>
          <w:rFonts w:hAnsi="宋体"/>
          <w:sz w:val="24"/>
        </w:rPr>
        <w:t>旁使用本设备，否则可能会干扰设备正常工作。</w:t>
      </w:r>
    </w:p>
    <w:p>
      <w:pPr>
        <w:rPr>
          <w:sz w:val="24"/>
        </w:rPr>
      </w:pPr>
    </w:p>
    <w:p>
      <w:pPr>
        <w:spacing w:line="360" w:lineRule="auto"/>
        <w:ind w:right="-23" w:rightChars="-11"/>
        <w:jc w:val="left"/>
        <w:rPr>
          <w:sz w:val="24"/>
        </w:rPr>
      </w:pPr>
      <w:r>
        <w:rPr>
          <w:sz w:val="24"/>
        </w:rPr>
        <w:drawing>
          <wp:inline distT="0" distB="0" distL="0" distR="0">
            <wp:extent cx="301625" cy="207010"/>
            <wp:effectExtent l="19050" t="0" r="3175" b="0"/>
            <wp:docPr id="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1625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sz w:val="24"/>
        </w:rPr>
        <w:t>警示</w:t>
      </w:r>
    </w:p>
    <w:p>
      <w:pPr>
        <w:rPr>
          <w:sz w:val="24"/>
        </w:rPr>
      </w:pPr>
      <w:r>
        <w:rPr>
          <w:rFonts w:hAnsi="宋体"/>
          <w:sz w:val="24"/>
        </w:rPr>
        <w:t>本设备按</w:t>
      </w:r>
      <w:r>
        <w:rPr>
          <w:sz w:val="24"/>
        </w:rPr>
        <w:t>GB 4824</w:t>
      </w:r>
      <w:r>
        <w:rPr>
          <w:rFonts w:hAnsi="宋体"/>
          <w:sz w:val="24"/>
        </w:rPr>
        <w:t>中的</w:t>
      </w:r>
      <w:r>
        <w:rPr>
          <w:sz w:val="24"/>
        </w:rPr>
        <w:t>A</w:t>
      </w:r>
      <w:r>
        <w:rPr>
          <w:rFonts w:hAnsi="宋体"/>
          <w:sz w:val="24"/>
        </w:rPr>
        <w:t>类设备设计和检测。在家庭环境中，本设备可能会引起无线电干扰，需要采取防护措施。</w:t>
      </w:r>
    </w:p>
    <w:p>
      <w:pPr>
        <w:rPr>
          <w:sz w:val="24"/>
        </w:rPr>
      </w:pPr>
    </w:p>
    <w:p>
      <w:pPr>
        <w:pStyle w:val="3"/>
        <w:rPr>
          <w:rFonts w:ascii="Times New Roman" w:hAnsi="Times New Roman"/>
        </w:rPr>
      </w:pPr>
      <w:bookmarkStart w:id="68" w:name="_Toc14801"/>
      <w:bookmarkStart w:id="69" w:name="_Toc484618054"/>
      <w:bookmarkStart w:id="70" w:name="_Toc484445310"/>
      <w:bookmarkStart w:id="71" w:name="_Toc484417781"/>
      <w:bookmarkStart w:id="72" w:name="_Toc478125610"/>
      <w:bookmarkStart w:id="73" w:name="_Toc517943615"/>
      <w:r>
        <w:rPr>
          <w:rFonts w:ascii="Times New Roman" w:hAnsi="Times New Roman"/>
        </w:rPr>
        <w:t>1.1</w:t>
      </w:r>
      <w:r>
        <w:rPr>
          <w:rFonts w:hint="eastAsia" w:ascii="Times New Roman" w:hAnsi="Times New Roman"/>
        </w:rPr>
        <w:t>5</w:t>
      </w:r>
      <w:r>
        <w:rPr>
          <w:rFonts w:ascii="Times New Roman"/>
        </w:rPr>
        <w:t>生产日期</w:t>
      </w:r>
      <w:bookmarkEnd w:id="68"/>
      <w:bookmarkEnd w:id="69"/>
      <w:bookmarkEnd w:id="70"/>
      <w:bookmarkEnd w:id="71"/>
      <w:bookmarkEnd w:id="72"/>
      <w:bookmarkEnd w:id="73"/>
    </w:p>
    <w:p>
      <w:pPr>
        <w:spacing w:line="360" w:lineRule="auto"/>
        <w:ind w:left="425" w:firstLine="360"/>
        <w:rPr>
          <w:szCs w:val="21"/>
        </w:rPr>
      </w:pPr>
      <w:r>
        <w:rPr>
          <w:rFonts w:hAnsi="宋体"/>
          <w:szCs w:val="21"/>
        </w:rPr>
        <w:t>产品生产具体日期见产品标签</w:t>
      </w:r>
    </w:p>
    <w:p>
      <w:pPr>
        <w:pStyle w:val="3"/>
        <w:rPr>
          <w:rFonts w:ascii="Times New Roman" w:hAnsi="Times New Roman"/>
        </w:rPr>
      </w:pPr>
      <w:bookmarkStart w:id="74" w:name="_Toc484445311"/>
      <w:bookmarkStart w:id="75" w:name="_Toc27775"/>
      <w:bookmarkStart w:id="76" w:name="_Toc517943616"/>
      <w:bookmarkStart w:id="77" w:name="_Toc484618055"/>
      <w:bookmarkStart w:id="78" w:name="_Toc484417782"/>
      <w:bookmarkStart w:id="79" w:name="_Toc478125611"/>
      <w:r>
        <w:rPr>
          <w:rFonts w:ascii="Times New Roman" w:hAnsi="Times New Roman"/>
        </w:rPr>
        <w:t>1.1</w:t>
      </w:r>
      <w:r>
        <w:rPr>
          <w:rFonts w:hint="eastAsia" w:ascii="Times New Roman" w:hAnsi="Times New Roman"/>
        </w:rPr>
        <w:t>6</w:t>
      </w:r>
      <w:r>
        <w:rPr>
          <w:rFonts w:ascii="Times New Roman"/>
        </w:rPr>
        <w:t>使用期限</w:t>
      </w:r>
      <w:bookmarkEnd w:id="74"/>
      <w:bookmarkEnd w:id="75"/>
      <w:bookmarkEnd w:id="76"/>
      <w:bookmarkEnd w:id="77"/>
      <w:bookmarkEnd w:id="78"/>
      <w:bookmarkEnd w:id="79"/>
    </w:p>
    <w:p>
      <w:pPr>
        <w:spacing w:line="360" w:lineRule="auto"/>
        <w:ind w:left="425"/>
        <w:rPr>
          <w:szCs w:val="21"/>
        </w:rPr>
      </w:pPr>
      <w:r>
        <w:rPr>
          <w:szCs w:val="21"/>
        </w:rPr>
        <w:t>a</w:t>
      </w:r>
      <w:r>
        <w:rPr>
          <w:rFonts w:hAnsi="宋体"/>
          <w:szCs w:val="21"/>
        </w:rPr>
        <w:t>）产品预期使用期限为</w:t>
      </w:r>
      <w:r>
        <w:rPr>
          <w:szCs w:val="21"/>
        </w:rPr>
        <w:t>6</w:t>
      </w:r>
      <w:r>
        <w:rPr>
          <w:rFonts w:hAnsi="宋体"/>
          <w:szCs w:val="21"/>
        </w:rPr>
        <w:t>年。</w:t>
      </w:r>
    </w:p>
    <w:p>
      <w:pPr>
        <w:spacing w:line="360" w:lineRule="auto"/>
        <w:ind w:left="425"/>
        <w:rPr>
          <w:szCs w:val="21"/>
        </w:rPr>
      </w:pPr>
      <w:r>
        <w:rPr>
          <w:szCs w:val="21"/>
        </w:rPr>
        <w:t>b</w:t>
      </w:r>
      <w:r>
        <w:rPr>
          <w:rFonts w:hAnsi="宋体"/>
          <w:szCs w:val="21"/>
        </w:rPr>
        <w:t>）效期结束后，仪器可按当地环境保护条例及国家相关法律规定的</w:t>
      </w:r>
      <w:r>
        <w:rPr>
          <w:rFonts w:hint="eastAsia" w:hAnsi="宋体"/>
          <w:szCs w:val="21"/>
        </w:rPr>
        <w:t>分析仪器</w:t>
      </w:r>
      <w:r>
        <w:rPr>
          <w:rFonts w:hAnsi="宋体"/>
          <w:szCs w:val="21"/>
        </w:rPr>
        <w:t>处理规定，进行相应处理或与我公司联系回收事宜，否则可能对环境造成污染。</w:t>
      </w:r>
    </w:p>
    <w:bookmarkEnd w:id="5"/>
    <w:bookmarkEnd w:id="63"/>
    <w:p>
      <w:pPr>
        <w:pStyle w:val="2"/>
        <w:jc w:val="center"/>
      </w:pPr>
      <w:bookmarkStart w:id="80" w:name="_Toc22007"/>
      <w:bookmarkStart w:id="81" w:name="_Toc4456"/>
      <w:bookmarkStart w:id="82" w:name="_Toc13112"/>
      <w:bookmarkStart w:id="83" w:name="_Toc173124794"/>
      <w:bookmarkStart w:id="84" w:name="_Toc517943617"/>
      <w:bookmarkStart w:id="85" w:name="_Toc23796"/>
      <w:bookmarkStart w:id="86" w:name="_Toc23024"/>
      <w:bookmarkStart w:id="87" w:name="_Toc3965"/>
      <w:bookmarkStart w:id="88" w:name="_Toc172171604"/>
      <w:bookmarkStart w:id="89" w:name="_Toc14580"/>
      <w:bookmarkStart w:id="90" w:name="_Toc22765"/>
      <w:bookmarkStart w:id="91" w:name="_Toc349807291"/>
      <w:bookmarkStart w:id="92" w:name="_Toc22947"/>
      <w:r>
        <w:t>第二章</w:t>
      </w:r>
      <w:r>
        <w:rPr>
          <w:rFonts w:hint="eastAsia"/>
        </w:rPr>
        <w:t xml:space="preserve">  </w:t>
      </w:r>
      <w:r>
        <w:t>仪器安装</w:t>
      </w:r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</w:p>
    <w:p>
      <w:pPr>
        <w:pStyle w:val="3"/>
        <w:rPr>
          <w:rFonts w:ascii="Times New Roman" w:hAnsi="Times New Roman"/>
        </w:rPr>
      </w:pPr>
      <w:bookmarkStart w:id="93" w:name="_Toc517943618"/>
      <w:r>
        <w:rPr>
          <w:rFonts w:ascii="Times New Roman" w:hAnsi="Times New Roman"/>
        </w:rPr>
        <w:t xml:space="preserve">2.1 </w:t>
      </w:r>
      <w:r>
        <w:rPr>
          <w:rFonts w:ascii="Times New Roman"/>
        </w:rPr>
        <w:t>仪器拆封</w:t>
      </w:r>
      <w:bookmarkEnd w:id="91"/>
      <w:bookmarkEnd w:id="92"/>
      <w:bookmarkEnd w:id="93"/>
    </w:p>
    <w:p>
      <w:pPr>
        <w:numPr>
          <w:ilvl w:val="1"/>
          <w:numId w:val="4"/>
        </w:numPr>
        <w:tabs>
          <w:tab w:val="left" w:pos="210"/>
          <w:tab w:val="clear" w:pos="780"/>
        </w:tabs>
        <w:spacing w:line="420" w:lineRule="exact"/>
        <w:ind w:left="275" w:hanging="275" w:hangingChars="131"/>
        <w:rPr>
          <w:szCs w:val="21"/>
        </w:rPr>
      </w:pPr>
      <w:r>
        <w:rPr>
          <w:szCs w:val="21"/>
        </w:rPr>
        <w:t>拆开仪器包装并拆除用于运输的材料。保存好包装箱和包装材料，方便日后您需要重新包装仪器。</w:t>
      </w:r>
    </w:p>
    <w:p>
      <w:pPr>
        <w:numPr>
          <w:ilvl w:val="1"/>
          <w:numId w:val="4"/>
        </w:numPr>
        <w:tabs>
          <w:tab w:val="left" w:pos="210"/>
          <w:tab w:val="clear" w:pos="780"/>
        </w:tabs>
        <w:spacing w:line="420" w:lineRule="exact"/>
        <w:ind w:left="0" w:firstLine="0"/>
        <w:rPr>
          <w:szCs w:val="21"/>
        </w:rPr>
      </w:pPr>
      <w:r>
        <w:rPr>
          <w:szCs w:val="21"/>
        </w:rPr>
        <w:t>检查包装箱的内容，并确认应与</w:t>
      </w:r>
      <w:r>
        <w:rPr>
          <w:rFonts w:hint="eastAsia"/>
          <w:szCs w:val="21"/>
        </w:rPr>
        <w:t>《装箱清单》</w:t>
      </w:r>
      <w:r>
        <w:rPr>
          <w:szCs w:val="21"/>
        </w:rPr>
        <w:t>相符。</w:t>
      </w:r>
    </w:p>
    <w:p>
      <w:pPr>
        <w:spacing w:line="420" w:lineRule="exact"/>
        <w:ind w:firstLine="632" w:firstLineChars="300"/>
        <w:rPr>
          <w:b/>
          <w:bCs/>
          <w:szCs w:val="21"/>
        </w:rPr>
      </w:pPr>
      <w:r>
        <w:rPr>
          <w:b/>
          <w:bCs/>
          <w:szCs w:val="21"/>
        </w:rPr>
        <w:t>注意：如果发现任何部件缺损或缺少，请与销售商联系。</w:t>
      </w:r>
    </w:p>
    <w:p>
      <w:pPr>
        <w:spacing w:line="420" w:lineRule="exact"/>
        <w:ind w:firstLine="632" w:firstLineChars="300"/>
        <w:rPr>
          <w:b/>
          <w:bCs/>
          <w:szCs w:val="21"/>
        </w:rPr>
      </w:pPr>
    </w:p>
    <w:p>
      <w:pPr>
        <w:pStyle w:val="3"/>
        <w:rPr>
          <w:rFonts w:ascii="Times New Roman" w:hAnsi="Times New Roman"/>
          <w:b w:val="0"/>
        </w:rPr>
      </w:pPr>
      <w:bookmarkStart w:id="94" w:name="_Toc23517"/>
      <w:bookmarkStart w:id="95" w:name="_Toc349807292"/>
      <w:bookmarkStart w:id="96" w:name="_Toc517943619"/>
      <w:r>
        <w:rPr>
          <w:rFonts w:ascii="Times New Roman" w:hAnsi="Times New Roman"/>
          <w:bCs w:val="0"/>
        </w:rPr>
        <w:t xml:space="preserve">2.2 </w:t>
      </w:r>
      <w:r>
        <w:rPr>
          <w:rFonts w:ascii="Times New Roman" w:hAnsi="宋体"/>
          <w:bCs w:val="0"/>
        </w:rPr>
        <w:t>环境要求</w:t>
      </w:r>
      <w:bookmarkEnd w:id="94"/>
      <w:bookmarkEnd w:id="95"/>
      <w:bookmarkEnd w:id="96"/>
    </w:p>
    <w:p>
      <w:pPr>
        <w:spacing w:line="420" w:lineRule="exact"/>
        <w:ind w:firstLine="525" w:firstLineChars="250"/>
        <w:rPr>
          <w:szCs w:val="21"/>
        </w:rPr>
      </w:pPr>
      <w:r>
        <w:rPr>
          <w:szCs w:val="21"/>
        </w:rPr>
        <w:t>没有阳光直晒的地方，选择的工作台表面需平坦，且有足够的空间安放</w:t>
      </w:r>
      <w:r>
        <w:rPr>
          <w:rFonts w:hint="eastAsia"/>
          <w:szCs w:val="21"/>
        </w:rPr>
        <w:t>水质检测仪</w:t>
      </w:r>
      <w:r>
        <w:rPr>
          <w:szCs w:val="21"/>
        </w:rPr>
        <w:t>主机，便于操作者断开电源，避免工作台有较大的震动（如台上放置了离心机）。</w:t>
      </w:r>
      <w:r>
        <w:rPr>
          <w:rFonts w:hAnsi="宋体"/>
          <w:szCs w:val="21"/>
        </w:rPr>
        <w:t>如果需要建议用户加滤波稳压电源。</w:t>
      </w:r>
    </w:p>
    <w:p>
      <w:pPr>
        <w:spacing w:line="420" w:lineRule="exact"/>
        <w:ind w:firstLine="210" w:firstLineChars="100"/>
        <w:rPr>
          <w:szCs w:val="21"/>
        </w:rPr>
      </w:pPr>
      <w:r>
        <w:rPr>
          <w:rFonts w:hAnsi="宋体"/>
          <w:szCs w:val="21"/>
        </w:rPr>
        <w:t>为保证仪器的正常工作，禁止在以下地方放置：</w:t>
      </w:r>
    </w:p>
    <w:p>
      <w:pPr>
        <w:spacing w:line="420" w:lineRule="exact"/>
        <w:ind w:firstLine="420" w:firstLineChars="200"/>
        <w:rPr>
          <w:szCs w:val="21"/>
        </w:rPr>
      </w:pPr>
      <w:r>
        <w:rPr>
          <w:szCs w:val="21"/>
        </w:rPr>
        <w:t xml:space="preserve">● </w:t>
      </w:r>
      <w:r>
        <w:rPr>
          <w:rFonts w:hAnsi="宋体"/>
          <w:szCs w:val="21"/>
        </w:rPr>
        <w:t>温度极度变化的地方</w:t>
      </w:r>
    </w:p>
    <w:p>
      <w:pPr>
        <w:spacing w:line="420" w:lineRule="exact"/>
        <w:ind w:firstLine="420" w:firstLineChars="200"/>
        <w:rPr>
          <w:szCs w:val="21"/>
        </w:rPr>
      </w:pPr>
      <w:r>
        <w:rPr>
          <w:szCs w:val="21"/>
        </w:rPr>
        <w:t xml:space="preserve">● </w:t>
      </w:r>
      <w:r>
        <w:rPr>
          <w:rFonts w:hAnsi="宋体"/>
          <w:szCs w:val="21"/>
        </w:rPr>
        <w:t>在特别热或特别冷的地方</w:t>
      </w:r>
    </w:p>
    <w:p>
      <w:pPr>
        <w:spacing w:line="420" w:lineRule="exact"/>
        <w:ind w:firstLine="420" w:firstLineChars="200"/>
        <w:rPr>
          <w:szCs w:val="21"/>
        </w:rPr>
      </w:pPr>
      <w:r>
        <w:rPr>
          <w:szCs w:val="21"/>
        </w:rPr>
        <w:t xml:space="preserve">● </w:t>
      </w:r>
      <w:r>
        <w:rPr>
          <w:rFonts w:hAnsi="宋体"/>
          <w:szCs w:val="21"/>
        </w:rPr>
        <w:t>在有大量灰尘的地方</w:t>
      </w:r>
    </w:p>
    <w:p>
      <w:pPr>
        <w:spacing w:line="420" w:lineRule="exact"/>
        <w:ind w:firstLine="420" w:firstLineChars="200"/>
        <w:rPr>
          <w:szCs w:val="21"/>
        </w:rPr>
      </w:pPr>
      <w:r>
        <w:rPr>
          <w:szCs w:val="21"/>
        </w:rPr>
        <w:t xml:space="preserve">● </w:t>
      </w:r>
      <w:r>
        <w:rPr>
          <w:rFonts w:hAnsi="宋体"/>
          <w:szCs w:val="21"/>
        </w:rPr>
        <w:t>靠近产生磁场的电磁设备</w:t>
      </w:r>
      <w:r>
        <w:rPr>
          <w:b/>
          <w:bCs/>
          <w:szCs w:val="21"/>
        </w:rPr>
        <w:t xml:space="preserve"> </w:t>
      </w:r>
    </w:p>
    <w:p>
      <w:pPr>
        <w:pStyle w:val="3"/>
        <w:rPr>
          <w:rFonts w:ascii="Times New Roman" w:hAnsi="Times New Roman"/>
        </w:rPr>
      </w:pPr>
      <w:bookmarkStart w:id="97" w:name="_Toc9423"/>
      <w:bookmarkStart w:id="98" w:name="_Toc517943620"/>
      <w:bookmarkStart w:id="99" w:name="_Toc349807293"/>
      <w:r>
        <w:rPr>
          <w:rFonts w:ascii="Times New Roman" w:hAnsi="Times New Roman"/>
        </w:rPr>
        <w:t>2.3</w:t>
      </w:r>
      <w:r>
        <w:rPr>
          <w:rFonts w:ascii="Times New Roman" w:hAnsi="宋体"/>
        </w:rPr>
        <w:t>开始安装</w:t>
      </w:r>
      <w:bookmarkEnd w:id="97"/>
      <w:bookmarkEnd w:id="98"/>
      <w:bookmarkEnd w:id="99"/>
    </w:p>
    <w:p>
      <w:pPr>
        <w:spacing w:line="420" w:lineRule="exact"/>
        <w:outlineLvl w:val="2"/>
        <w:rPr>
          <w:szCs w:val="21"/>
        </w:rPr>
      </w:pPr>
      <w:r>
        <w:rPr>
          <w:szCs w:val="21"/>
        </w:rPr>
        <w:t>2.3.1</w:t>
      </w:r>
      <w:r>
        <w:rPr>
          <w:rFonts w:hAnsi="宋体"/>
          <w:szCs w:val="21"/>
        </w:rPr>
        <w:t>将仪器联接到电源</w:t>
      </w:r>
    </w:p>
    <w:p>
      <w:pPr>
        <w:spacing w:line="420" w:lineRule="exact"/>
        <w:ind w:firstLine="420" w:firstLineChars="200"/>
        <w:rPr>
          <w:szCs w:val="21"/>
        </w:rPr>
      </w:pPr>
      <w:r>
        <w:rPr>
          <w:szCs w:val="21"/>
        </w:rPr>
        <w:t xml:space="preserve">1) </w:t>
      </w:r>
      <w:r>
        <w:rPr>
          <w:rFonts w:hAnsi="宋体"/>
          <w:szCs w:val="21"/>
        </w:rPr>
        <w:t>将电源线组件的连接器插入仪器的器具输入插座。</w:t>
      </w:r>
    </w:p>
    <w:p>
      <w:pPr>
        <w:spacing w:line="420" w:lineRule="exact"/>
        <w:ind w:firstLine="420" w:firstLineChars="200"/>
        <w:rPr>
          <w:szCs w:val="21"/>
        </w:rPr>
      </w:pPr>
      <w:r>
        <w:rPr>
          <w:szCs w:val="21"/>
        </w:rPr>
        <w:t xml:space="preserve">2) </w:t>
      </w:r>
      <w:r>
        <w:rPr>
          <w:rFonts w:hAnsi="宋体"/>
          <w:szCs w:val="21"/>
        </w:rPr>
        <w:t>将电源线组件的电源插头插入交流电源插座。</w:t>
      </w:r>
    </w:p>
    <w:p>
      <w:pPr>
        <w:spacing w:line="420" w:lineRule="exact"/>
        <w:rPr>
          <w:szCs w:val="21"/>
        </w:rPr>
      </w:pPr>
      <w:r>
        <w:rPr>
          <w:szCs w:val="21"/>
        </w:rPr>
        <w:t xml:space="preserve">2.3.2  </w:t>
      </w:r>
      <w:r>
        <w:rPr>
          <w:rFonts w:hAnsi="宋体"/>
          <w:szCs w:val="21"/>
        </w:rPr>
        <w:t>请查看打印纸是否装好。</w:t>
      </w:r>
    </w:p>
    <w:p>
      <w:pPr>
        <w:spacing w:line="420" w:lineRule="exact"/>
        <w:ind w:left="210" w:hanging="210" w:hangingChars="100"/>
        <w:outlineLvl w:val="2"/>
        <w:rPr>
          <w:szCs w:val="21"/>
        </w:rPr>
      </w:pPr>
      <w:r>
        <w:rPr>
          <w:szCs w:val="21"/>
        </w:rPr>
        <w:t xml:space="preserve">2.3.3  </w:t>
      </w:r>
      <w:r>
        <w:rPr>
          <w:rFonts w:hAnsi="宋体"/>
          <w:szCs w:val="21"/>
        </w:rPr>
        <w:t>连接串口线（如果使用工作站软件）</w:t>
      </w:r>
    </w:p>
    <w:p>
      <w:pPr>
        <w:spacing w:line="420" w:lineRule="exact"/>
        <w:ind w:firstLine="420" w:firstLineChars="200"/>
        <w:rPr>
          <w:szCs w:val="21"/>
        </w:rPr>
      </w:pPr>
      <w:r>
        <w:rPr>
          <w:szCs w:val="21"/>
        </w:rPr>
        <w:t>1)</w:t>
      </w:r>
      <w:r>
        <w:rPr>
          <w:rFonts w:hAnsi="宋体"/>
          <w:szCs w:val="21"/>
        </w:rPr>
        <w:t>确定仪器、</w:t>
      </w:r>
      <w:r>
        <w:rPr>
          <w:szCs w:val="21"/>
        </w:rPr>
        <w:t>PC</w:t>
      </w:r>
      <w:r>
        <w:rPr>
          <w:rFonts w:hAnsi="宋体"/>
          <w:szCs w:val="21"/>
        </w:rPr>
        <w:t>机已关闭。</w:t>
      </w:r>
    </w:p>
    <w:p>
      <w:pPr>
        <w:ind w:left="210" w:firstLine="210"/>
      </w:pPr>
      <w:r>
        <w:rPr>
          <w:szCs w:val="21"/>
        </w:rPr>
        <w:t>2)</w:t>
      </w:r>
      <w:r>
        <w:rPr>
          <w:rFonts w:hAnsi="宋体"/>
          <w:szCs w:val="21"/>
        </w:rPr>
        <w:t>将</w:t>
      </w:r>
      <w:r>
        <w:rPr>
          <w:szCs w:val="21"/>
        </w:rPr>
        <w:t>9</w:t>
      </w:r>
      <w:r>
        <w:rPr>
          <w:rFonts w:hAnsi="宋体"/>
          <w:szCs w:val="21"/>
        </w:rPr>
        <w:t>针串口线阳头接</w:t>
      </w:r>
      <w:r>
        <w:rPr>
          <w:szCs w:val="21"/>
        </w:rPr>
        <w:t>PC</w:t>
      </w:r>
      <w:r>
        <w:rPr>
          <w:rFonts w:hAnsi="宋体"/>
          <w:szCs w:val="21"/>
        </w:rPr>
        <w:t>机的</w:t>
      </w:r>
      <w:r>
        <w:rPr>
          <w:szCs w:val="21"/>
        </w:rPr>
        <w:t>COM1,</w:t>
      </w:r>
      <w:r>
        <w:rPr>
          <w:rFonts w:hAnsi="宋体"/>
          <w:szCs w:val="21"/>
        </w:rPr>
        <w:t>串口线另一端接仪器</w:t>
      </w:r>
      <w:r>
        <w:t>232-通信接口。</w:t>
      </w:r>
    </w:p>
    <w:p>
      <w:pPr>
        <w:rPr>
          <w:rFonts w:hAnsi="宋体"/>
          <w:szCs w:val="21"/>
        </w:rPr>
      </w:pPr>
      <w:r>
        <w:rPr>
          <w:rFonts w:hAnsi="宋体"/>
          <w:szCs w:val="21"/>
        </w:rPr>
        <w:t>后面板布置图</w:t>
      </w:r>
    </w:p>
    <w:p>
      <w:pPr>
        <w:ind w:firstLine="840" w:firstLineChars="400"/>
      </w:pP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2526030</wp:posOffset>
            </wp:positionH>
            <wp:positionV relativeFrom="paragraph">
              <wp:posOffset>93980</wp:posOffset>
            </wp:positionV>
            <wp:extent cx="2641600" cy="1462405"/>
            <wp:effectExtent l="19050" t="0" r="6350" b="0"/>
            <wp:wrapSquare wrapText="bothSides"/>
            <wp:docPr id="409" name="图片 409" descr="2ZWGCIFDURAQO[MO)RR%LH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图片 409" descr="2ZWGCIFDURAQO[MO)RR%LHE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1462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/>
        </w:rPr>
        <w:sym w:font="Wingdings" w:char="F081"/>
      </w:r>
      <w:r>
        <w:t>--冷却风机；</w:t>
      </w:r>
    </w:p>
    <w:p>
      <w:pPr>
        <w:spacing w:line="440" w:lineRule="exact"/>
        <w:ind w:left="780"/>
        <w:jc w:val="left"/>
      </w:pPr>
      <w:r>
        <w:t>②--USB接口；</w:t>
      </w:r>
    </w:p>
    <w:p>
      <w:pPr>
        <w:spacing w:line="440" w:lineRule="exact"/>
        <w:ind w:left="780"/>
        <w:jc w:val="left"/>
      </w:pPr>
      <w:r>
        <w:t>③-- 232-通信接口；</w:t>
      </w:r>
    </w:p>
    <w:p>
      <w:pPr>
        <w:spacing w:line="440" w:lineRule="exact"/>
        <w:ind w:left="780"/>
        <w:jc w:val="left"/>
      </w:pPr>
      <w:r>
        <w:t>④—器具输入插座；</w:t>
      </w:r>
    </w:p>
    <w:p>
      <w:pPr>
        <w:spacing w:line="440" w:lineRule="exact"/>
        <w:ind w:left="780"/>
        <w:jc w:val="left"/>
      </w:pPr>
      <w:r>
        <w:rPr>
          <w:color w:val="000000"/>
        </w:rPr>
        <w:t>⑤—熔断器</w:t>
      </w:r>
      <w:r>
        <w:t>；</w:t>
      </w:r>
    </w:p>
    <w:p>
      <w:pPr>
        <w:spacing w:line="440" w:lineRule="exact"/>
        <w:ind w:firstLine="840" w:firstLineChars="400"/>
        <w:jc w:val="left"/>
      </w:pPr>
      <w:r>
        <w:t>⑥--电源开关；</w:t>
      </w:r>
    </w:p>
    <w:p>
      <w:pPr>
        <w:pStyle w:val="3"/>
        <w:rPr>
          <w:rFonts w:ascii="Times New Roman" w:hAnsi="Times New Roman"/>
        </w:rPr>
      </w:pPr>
      <w:bookmarkStart w:id="100" w:name="_Toc349807294"/>
      <w:bookmarkStart w:id="101" w:name="_Toc517943621"/>
      <w:bookmarkStart w:id="102" w:name="_Toc13959"/>
      <w:r>
        <w:rPr>
          <w:rFonts w:ascii="Times New Roman" w:hAnsi="Times New Roman"/>
        </w:rPr>
        <w:t xml:space="preserve">2.4  </w:t>
      </w:r>
      <w:r>
        <w:rPr>
          <w:rFonts w:ascii="Times New Roman" w:hAnsi="宋体"/>
        </w:rPr>
        <w:t>使用前的准备与检查</w:t>
      </w:r>
      <w:bookmarkEnd w:id="100"/>
      <w:bookmarkEnd w:id="101"/>
      <w:bookmarkEnd w:id="102"/>
    </w:p>
    <w:p>
      <w:pPr>
        <w:spacing w:line="400" w:lineRule="exact"/>
        <w:ind w:firstLine="480"/>
        <w:rPr>
          <w:rFonts w:hAnsi="宋体"/>
        </w:rPr>
      </w:pPr>
      <w:r>
        <w:rPr>
          <w:rFonts w:hAnsi="宋体"/>
        </w:rPr>
        <w:t>仪器在通电前应首先检查其外观是否有因贮运不当造成的变形、开裂等损伤，然后再插好电源插头，打开电源开关，此时仪器自动进入开机自检程序，并在屏幕上给出提示，自检正常后，仪器自动显示主菜单，这时，用户可进行编程、检测、查询等操作。但不能立即进行检验操作，应预热</w:t>
      </w:r>
      <w:r>
        <w:rPr>
          <w:rFonts w:hint="eastAsia"/>
        </w:rPr>
        <w:t>10</w:t>
      </w:r>
      <w:r>
        <w:rPr>
          <w:rFonts w:hAnsi="宋体"/>
        </w:rPr>
        <w:t>分钟后，再开始使用检测功能进行检验。如果在</w:t>
      </w:r>
      <w:r>
        <w:t>30</w:t>
      </w:r>
      <w:r>
        <w:rPr>
          <w:rFonts w:hAnsi="宋体"/>
        </w:rPr>
        <w:t>分钟内不对仪器进行操作，仪器自动将光源灯切换到</w:t>
      </w:r>
      <w:r>
        <w:t>“</w:t>
      </w:r>
      <w:r>
        <w:rPr>
          <w:rFonts w:hAnsi="宋体"/>
        </w:rPr>
        <w:t>半压</w:t>
      </w:r>
      <w:r>
        <w:t>”</w:t>
      </w:r>
      <w:r>
        <w:rPr>
          <w:rFonts w:hAnsi="宋体"/>
        </w:rPr>
        <w:t>状态，以延长光源灯的使用寿命。下次检测时仪器再打开光源灯。</w:t>
      </w:r>
      <w:r>
        <w:rPr>
          <w:rFonts w:hint="eastAsia" w:ascii="幼圆" w:eastAsia="幼圆"/>
          <w:sz w:val="24"/>
        </w:rPr>
        <w:t xml:space="preserve">          </w:t>
      </w:r>
    </w:p>
    <w:p>
      <w:pPr>
        <w:spacing w:line="540" w:lineRule="exact"/>
        <w:rPr>
          <w:rFonts w:ascii="幼圆" w:eastAsia="幼圆"/>
          <w:sz w:val="24"/>
        </w:rPr>
      </w:pPr>
    </w:p>
    <w:p>
      <w:pPr>
        <w:pStyle w:val="2"/>
        <w:numPr>
          <w:ilvl w:val="0"/>
          <w:numId w:val="5"/>
        </w:numPr>
        <w:jc w:val="center"/>
      </w:pPr>
      <w:bookmarkStart w:id="103" w:name="_Toc12111"/>
      <w:r>
        <w:rPr>
          <w:rFonts w:hint="eastAsia"/>
        </w:rPr>
        <w:t xml:space="preserve">  </w:t>
      </w:r>
      <w:bookmarkStart w:id="104" w:name="_Toc517943622"/>
      <w:r>
        <w:t>使用与操作</w:t>
      </w:r>
      <w:bookmarkEnd w:id="103"/>
      <w:bookmarkEnd w:id="104"/>
    </w:p>
    <w:p/>
    <w:p>
      <w:pPr>
        <w:pStyle w:val="3"/>
      </w:pPr>
      <w:bookmarkStart w:id="105" w:name="_Toc349807297"/>
      <w:bookmarkStart w:id="106" w:name="_Toc15115"/>
      <w:bookmarkStart w:id="107" w:name="_Toc517943623"/>
      <w:r>
        <w:rPr>
          <w:rFonts w:ascii="Times New Roman" w:hAnsi="Times New Roman"/>
        </w:rPr>
        <w:t>3.1</w:t>
      </w:r>
      <w:bookmarkEnd w:id="105"/>
      <w:bookmarkEnd w:id="106"/>
      <w:r>
        <w:rPr>
          <w:rFonts w:hint="eastAsia"/>
          <w:szCs w:val="24"/>
        </w:rPr>
        <w:t>启动仪器</w:t>
      </w:r>
      <w:r>
        <w:rPr>
          <w:rFonts w:hint="eastAsia" w:ascii="Times New Roman" w:hAnsi="Times New Roman"/>
          <w:b w:val="0"/>
          <w:bCs w:val="0"/>
          <w:sz w:val="21"/>
          <w:szCs w:val="24"/>
        </w:rPr>
        <w:t>：</w:t>
      </w:r>
      <w:bookmarkEnd w:id="107"/>
    </w:p>
    <w:p>
      <w:pPr>
        <w:spacing w:line="400" w:lineRule="exact"/>
        <w:ind w:firstLine="630" w:firstLineChars="300"/>
        <w:outlineLvl w:val="2"/>
      </w:pPr>
      <w:r>
        <w:rPr>
          <w:rFonts w:hint="eastAsia"/>
        </w:rPr>
        <w:t>1）、将仪器放在一个水平平面上，要保证仪器的稳定，不晃动。</w:t>
      </w:r>
    </w:p>
    <w:p>
      <w:pPr>
        <w:spacing w:line="400" w:lineRule="exact"/>
        <w:ind w:firstLine="630" w:firstLineChars="300"/>
        <w:outlineLvl w:val="2"/>
      </w:pPr>
      <w:r>
        <w:rPr>
          <w:rFonts w:hint="eastAsia"/>
        </w:rPr>
        <w:t>2）、取出包装箱内电源线并连接外接电源和仪器。打开仪器位于后部的电源开关。</w:t>
      </w:r>
    </w:p>
    <w:p>
      <w:pPr>
        <w:spacing w:line="400" w:lineRule="exact"/>
        <w:ind w:firstLine="630" w:firstLineChars="300"/>
      </w:pPr>
      <w:r>
        <w:rPr>
          <w:rFonts w:hint="eastAsia"/>
        </w:rPr>
        <w:t>3）、打开电源，仪器主机进入自检界面。请等待10分钟仪器自动进入检测页面，如未进入请手动点击屏幕正中的标识即可进入主界面（</w:t>
      </w:r>
      <w:r>
        <w:t>图3-1</w:t>
      </w:r>
      <w:r>
        <w:rPr>
          <w:rFonts w:hint="eastAsia"/>
        </w:rPr>
        <w:t>）。</w:t>
      </w:r>
    </w:p>
    <w:p>
      <w:pPr>
        <w:spacing w:line="400" w:lineRule="exact"/>
        <w:outlineLvl w:val="2"/>
        <w:rPr>
          <w:szCs w:val="21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1637030</wp:posOffset>
            </wp:positionH>
            <wp:positionV relativeFrom="paragraph">
              <wp:posOffset>96520</wp:posOffset>
            </wp:positionV>
            <wp:extent cx="2824480" cy="1689100"/>
            <wp:effectExtent l="19050" t="0" r="0" b="0"/>
            <wp:wrapSquare wrapText="bothSides"/>
            <wp:docPr id="397" name="图片 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图片 39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24480" cy="168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spacing w:line="400" w:lineRule="exact"/>
        <w:outlineLvl w:val="2"/>
        <w:rPr>
          <w:szCs w:val="21"/>
        </w:rPr>
      </w:pPr>
    </w:p>
    <w:p>
      <w:pPr>
        <w:spacing w:line="400" w:lineRule="exact"/>
      </w:pPr>
      <w:r>
        <w:t>图3-1</w:t>
      </w:r>
    </w:p>
    <w:p>
      <w:pPr>
        <w:spacing w:line="400" w:lineRule="exact"/>
        <w:outlineLvl w:val="2"/>
        <w:rPr>
          <w:szCs w:val="21"/>
        </w:rPr>
      </w:pPr>
    </w:p>
    <w:p>
      <w:pPr>
        <w:spacing w:line="400" w:lineRule="exact"/>
        <w:outlineLvl w:val="2"/>
        <w:rPr>
          <w:szCs w:val="21"/>
        </w:rPr>
      </w:pPr>
    </w:p>
    <w:p>
      <w:pPr>
        <w:spacing w:line="400" w:lineRule="exact"/>
        <w:outlineLvl w:val="2"/>
        <w:rPr>
          <w:szCs w:val="21"/>
        </w:rPr>
      </w:pPr>
    </w:p>
    <w:p>
      <w:pPr>
        <w:spacing w:line="400" w:lineRule="exact"/>
        <w:outlineLvl w:val="2"/>
        <w:rPr>
          <w:szCs w:val="21"/>
        </w:rPr>
      </w:pPr>
    </w:p>
    <w:p>
      <w:pPr>
        <w:spacing w:line="400" w:lineRule="exact"/>
      </w:pPr>
      <w:r>
        <w:rPr>
          <w:rFonts w:hint="eastAsia"/>
        </w:rPr>
        <w:t>4）、</w:t>
      </w:r>
      <w:r>
        <w:t>仪器主菜单内容如下</w:t>
      </w:r>
      <w:r>
        <w:rPr>
          <w:rFonts w:hint="eastAsia"/>
        </w:rPr>
        <w:t>（</w:t>
      </w:r>
      <w:r>
        <w:t>图3-</w:t>
      </w:r>
      <w:r>
        <w:rPr>
          <w:rFonts w:hint="eastAsia"/>
        </w:rPr>
        <w:t>2）。</w:t>
      </w:r>
    </w:p>
    <w:p>
      <w:pPr>
        <w:spacing w:line="400" w:lineRule="exact"/>
        <w:ind w:firstLine="630" w:firstLineChars="300"/>
        <w:outlineLvl w:val="2"/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1740535</wp:posOffset>
            </wp:positionH>
            <wp:positionV relativeFrom="paragraph">
              <wp:posOffset>60960</wp:posOffset>
            </wp:positionV>
            <wp:extent cx="2818765" cy="1690370"/>
            <wp:effectExtent l="19050" t="0" r="635" b="0"/>
            <wp:wrapSquare wrapText="bothSides"/>
            <wp:docPr id="396" name="图片 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图片 39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8765" cy="169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spacing w:line="400" w:lineRule="exact"/>
      </w:pPr>
    </w:p>
    <w:p>
      <w:pPr>
        <w:spacing w:line="400" w:lineRule="exact"/>
      </w:pPr>
    </w:p>
    <w:p>
      <w:pPr>
        <w:spacing w:line="400" w:lineRule="exact"/>
      </w:pPr>
      <w:r>
        <w:t>图3-</w:t>
      </w:r>
      <w:r>
        <w:rPr>
          <w:rFonts w:hint="eastAsia"/>
        </w:rPr>
        <w:t>2</w:t>
      </w:r>
    </w:p>
    <w:p>
      <w:pPr>
        <w:spacing w:line="400" w:lineRule="exact"/>
      </w:pPr>
    </w:p>
    <w:p>
      <w:pPr>
        <w:spacing w:line="400" w:lineRule="exact"/>
      </w:pPr>
    </w:p>
    <w:p>
      <w:pPr>
        <w:spacing w:line="400" w:lineRule="exact"/>
      </w:pPr>
    </w:p>
    <w:p>
      <w:pPr>
        <w:spacing w:line="400" w:lineRule="exact"/>
      </w:pPr>
      <w:r>
        <w:rPr>
          <w:rFonts w:hint="eastAsia"/>
        </w:rPr>
        <w:t>主菜单</w:t>
      </w:r>
      <w:r>
        <w:t>说明：</w:t>
      </w:r>
    </w:p>
    <w:p>
      <w:pPr>
        <w:spacing w:line="400" w:lineRule="exact"/>
      </w:pPr>
      <w:r>
        <w:t>“</w:t>
      </w:r>
      <w:r>
        <w:rPr>
          <w:rFonts w:hint="eastAsia"/>
        </w:rPr>
        <w:t>测量</w:t>
      </w:r>
      <w:r>
        <w:t>”－</w:t>
      </w:r>
      <w:r>
        <w:rPr>
          <w:rFonts w:hint="eastAsia"/>
        </w:rPr>
        <w:t>预热完成后</w:t>
      </w:r>
      <w:r>
        <w:t>后，单击此图标就可以</w:t>
      </w:r>
      <w:r>
        <w:rPr>
          <w:rFonts w:hint="eastAsia"/>
        </w:rPr>
        <w:t>进入</w:t>
      </w:r>
      <w:r>
        <w:t>检测了。允许在检测之前选择</w:t>
      </w:r>
      <w:r>
        <w:rPr>
          <w:rFonts w:hint="eastAsia"/>
        </w:rPr>
        <w:t>其他项目。</w:t>
      </w:r>
    </w:p>
    <w:p>
      <w:pPr>
        <w:spacing w:line="400" w:lineRule="exact"/>
      </w:pPr>
      <w:r>
        <w:t>“</w:t>
      </w:r>
      <w:r>
        <w:rPr>
          <w:rFonts w:hint="eastAsia"/>
        </w:rPr>
        <w:t>历史</w:t>
      </w:r>
      <w:r>
        <w:t>”－单击图标可查询</w:t>
      </w:r>
      <w:r>
        <w:rPr>
          <w:rFonts w:hint="eastAsia"/>
        </w:rPr>
        <w:t>历史检测数据。</w:t>
      </w:r>
    </w:p>
    <w:p>
      <w:pPr>
        <w:spacing w:line="400" w:lineRule="exact"/>
      </w:pPr>
      <w:r>
        <w:t>“</w:t>
      </w:r>
      <w:r>
        <w:rPr>
          <w:rFonts w:hint="eastAsia"/>
        </w:rPr>
        <w:t>分析</w:t>
      </w:r>
      <w:r>
        <w:t>”－</w:t>
      </w:r>
      <w:r>
        <w:rPr>
          <w:rFonts w:hint="eastAsia"/>
        </w:rPr>
        <w:t>可对将测样品进行数据分析曲线的标定</w:t>
      </w:r>
    </w:p>
    <w:p>
      <w:pPr>
        <w:spacing w:line="400" w:lineRule="exact"/>
      </w:pPr>
      <w:r>
        <w:t>“设置”－可进行</w:t>
      </w:r>
      <w:r>
        <w:rPr>
          <w:rFonts w:hint="eastAsia"/>
        </w:rPr>
        <w:t>光路校准</w:t>
      </w:r>
      <w:r>
        <w:t>设置和系统时间</w:t>
      </w:r>
      <w:r>
        <w:rPr>
          <w:rFonts w:hint="eastAsia"/>
        </w:rPr>
        <w:t>、中英文界面</w:t>
      </w:r>
      <w:r>
        <w:t>的设置，</w:t>
      </w:r>
      <w:r>
        <w:rPr>
          <w:rFonts w:hint="eastAsia"/>
        </w:rPr>
        <w:t>并可进行恢复出厂设置。</w:t>
      </w:r>
    </w:p>
    <w:p>
      <w:pPr>
        <w:spacing w:line="400" w:lineRule="exact"/>
      </w:pPr>
      <w:r>
        <w:t>“</w:t>
      </w:r>
      <w:r>
        <w:rPr>
          <w:rFonts w:hint="eastAsia"/>
        </w:rPr>
        <w:t>帮助</w:t>
      </w:r>
      <w:r>
        <w:t>”－</w:t>
      </w:r>
      <w:r>
        <w:rPr>
          <w:rFonts w:hint="eastAsia"/>
        </w:rPr>
        <w:t>对操作系统进行说明</w:t>
      </w:r>
      <w:r>
        <w:t>。</w:t>
      </w:r>
    </w:p>
    <w:p>
      <w:pPr>
        <w:pStyle w:val="3"/>
      </w:pPr>
      <w:bookmarkStart w:id="108" w:name="_Toc517943624"/>
      <w:r>
        <w:rPr>
          <w:rFonts w:ascii="Times New Roman" w:hAnsi="Times New Roman"/>
        </w:rPr>
        <w:t>3.</w:t>
      </w:r>
      <w:r>
        <w:rPr>
          <w:rFonts w:hint="eastAsia" w:ascii="Times New Roman" w:hAnsi="Times New Roman"/>
        </w:rPr>
        <w:t xml:space="preserve">2 </w:t>
      </w:r>
      <w:r>
        <w:rPr>
          <w:rFonts w:hint="eastAsia"/>
          <w:szCs w:val="24"/>
        </w:rPr>
        <w:t>测量</w:t>
      </w:r>
      <w:r>
        <w:rPr>
          <w:rFonts w:hint="eastAsia" w:ascii="Times New Roman" w:hAnsi="Times New Roman"/>
          <w:b w:val="0"/>
          <w:bCs w:val="0"/>
          <w:sz w:val="21"/>
          <w:szCs w:val="24"/>
        </w:rPr>
        <w:t>：</w:t>
      </w:r>
      <w:bookmarkEnd w:id="108"/>
    </w:p>
    <w:p>
      <w:pPr>
        <w:spacing w:line="540" w:lineRule="exact"/>
        <w:ind w:right="567" w:rightChars="270"/>
        <w:outlineLvl w:val="2"/>
      </w:pPr>
      <w:r>
        <w:t xml:space="preserve"> </w:t>
      </w:r>
      <w:r>
        <w:rPr>
          <w:rFonts w:hint="eastAsia"/>
        </w:rPr>
        <w:t>点击测量进入测量页面（图3-4），</w:t>
      </w:r>
    </w:p>
    <w:p>
      <w:pPr>
        <w:spacing w:line="540" w:lineRule="exact"/>
        <w:ind w:left="840" w:hanging="840" w:hangingChars="400"/>
      </w:pPr>
      <w: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1480820</wp:posOffset>
            </wp:positionH>
            <wp:positionV relativeFrom="paragraph">
              <wp:posOffset>635</wp:posOffset>
            </wp:positionV>
            <wp:extent cx="2896870" cy="1736725"/>
            <wp:effectExtent l="19050" t="0" r="0" b="0"/>
            <wp:wrapNone/>
            <wp:docPr id="27" name="图片 27" descr="D:\0水质相关\界面图片\总氮多参数图片修改\总氮多参数图片修改\图片修改\3_测量界面中文一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D:\0水质相关\界面图片\总氮多参数图片修改\总氮多参数图片修改\图片修改\3_测量界面中文一.bmp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6509" cy="1736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540" w:lineRule="exact"/>
        <w:ind w:left="105" w:leftChars="-350" w:right="462" w:rightChars="220" w:hanging="840" w:hangingChars="400"/>
      </w:pPr>
    </w:p>
    <w:p>
      <w:pPr>
        <w:spacing w:line="540" w:lineRule="exact"/>
        <w:ind w:left="105" w:leftChars="-350" w:right="462" w:rightChars="220" w:hanging="840" w:hangingChars="400"/>
      </w:pPr>
    </w:p>
    <w:p>
      <w:pPr>
        <w:spacing w:line="400" w:lineRule="exact"/>
        <w:ind w:left="105" w:leftChars="50" w:right="462" w:rightChars="220" w:firstLine="420" w:firstLineChars="200"/>
      </w:pPr>
    </w:p>
    <w:p>
      <w:pPr>
        <w:spacing w:line="400" w:lineRule="exact"/>
        <w:ind w:left="105" w:leftChars="50" w:right="462" w:rightChars="220" w:firstLine="420" w:firstLineChars="200"/>
      </w:pPr>
    </w:p>
    <w:p>
      <w:pPr>
        <w:spacing w:line="400" w:lineRule="exact"/>
        <w:ind w:left="105" w:leftChars="50" w:right="462" w:rightChars="220" w:firstLine="420" w:firstLineChars="200"/>
      </w:pP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2772410</wp:posOffset>
                </wp:positionH>
                <wp:positionV relativeFrom="paragraph">
                  <wp:posOffset>198120</wp:posOffset>
                </wp:positionV>
                <wp:extent cx="956310" cy="362585"/>
                <wp:effectExtent l="0" t="0" r="0" b="0"/>
                <wp:wrapNone/>
                <wp:docPr id="11" name="文本框 4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6310" cy="362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540" w:lineRule="exact"/>
                              <w:ind w:right="462" w:rightChars="220"/>
                            </w:pPr>
                            <w:r>
                              <w:t>图3-</w:t>
                            </w:r>
                            <w:r>
                              <w:rPr>
                                <w:rFonts w:hint="eastAsia"/>
                              </w:rPr>
                              <w:t>4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417" o:spid="_x0000_s1026" o:spt="202" type="#_x0000_t202" style="position:absolute;left:0pt;margin-left:218.3pt;margin-top:15.6pt;height:28.55pt;width:75.3pt;z-index:251670528;mso-width-relative:margin;mso-height-relative:margin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540" w:lineRule="exact"/>
                        <w:ind w:right="462" w:rightChars="220"/>
                      </w:pPr>
                      <w:r>
                        <w:t>图3-</w:t>
                      </w:r>
                      <w:r>
                        <w:rPr>
                          <w:rFonts w:hint="eastAsia"/>
                        </w:rPr>
                        <w:t>4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spacing w:line="400" w:lineRule="exact"/>
        <w:ind w:right="462" w:rightChars="220"/>
      </w:pPr>
    </w:p>
    <w:p>
      <w:pPr>
        <w:numPr>
          <w:ilvl w:val="0"/>
          <w:numId w:val="6"/>
        </w:numPr>
        <w:spacing w:line="400" w:lineRule="exact"/>
        <w:ind w:left="105" w:leftChars="50" w:right="462" w:rightChars="220" w:firstLine="420" w:firstLineChars="200"/>
      </w:pPr>
      <w:r>
        <w:rPr>
          <w:rFonts w:hint="eastAsia"/>
        </w:rPr>
        <w:t>、首先选择测量项目，默认测量项目为COD，点击测量项目进入测量项目选择，选择项目内容或通过点击项目号即可，并通过下一页来查找项目内容。最后一页中也可以通过自定义项目选择（图3-5）</w:t>
      </w:r>
    </w:p>
    <w:p>
      <w:pPr>
        <w:spacing w:line="400" w:lineRule="exact"/>
        <w:ind w:right="462" w:rightChars="220"/>
      </w:pPr>
      <w: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3176270</wp:posOffset>
            </wp:positionH>
            <wp:positionV relativeFrom="paragraph">
              <wp:posOffset>44450</wp:posOffset>
            </wp:positionV>
            <wp:extent cx="2702560" cy="1619250"/>
            <wp:effectExtent l="19050" t="0" r="2540" b="0"/>
            <wp:wrapNone/>
            <wp:docPr id="422" name="图片 422" descr="21_项目选择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图片 422" descr="21_项目选择四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0256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128270</wp:posOffset>
            </wp:positionH>
            <wp:positionV relativeFrom="paragraph">
              <wp:posOffset>25400</wp:posOffset>
            </wp:positionV>
            <wp:extent cx="2724150" cy="1638300"/>
            <wp:effectExtent l="19050" t="0" r="0" b="0"/>
            <wp:wrapNone/>
            <wp:docPr id="421" name="图片 421" descr="15_项目选择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图片 421" descr="15_项目选择一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400" w:lineRule="exact"/>
        <w:ind w:right="462" w:rightChars="220"/>
      </w:pPr>
    </w:p>
    <w:p>
      <w:pPr>
        <w:spacing w:line="400" w:lineRule="exact"/>
        <w:ind w:right="462" w:rightChars="220"/>
      </w:pPr>
    </w:p>
    <w:p>
      <w:pPr>
        <w:spacing w:line="400" w:lineRule="exact"/>
        <w:ind w:right="462" w:rightChars="220"/>
      </w:pPr>
    </w:p>
    <w:p>
      <w:pPr>
        <w:spacing w:line="400" w:lineRule="exact"/>
        <w:ind w:right="462" w:rightChars="220"/>
      </w:pPr>
    </w:p>
    <w:p>
      <w:pPr>
        <w:spacing w:line="400" w:lineRule="exact"/>
        <w:ind w:right="462" w:rightChars="220"/>
      </w:pPr>
    </w:p>
    <w:p>
      <w:pPr>
        <w:spacing w:line="400" w:lineRule="exact"/>
        <w:ind w:right="462" w:rightChars="220"/>
      </w:pPr>
    </w:p>
    <w:p>
      <w:pPr>
        <w:spacing w:line="400" w:lineRule="exact"/>
        <w:ind w:right="462" w:rightChars="220"/>
      </w:pPr>
    </w:p>
    <w:p>
      <w:pPr>
        <w:numPr>
          <w:ilvl w:val="0"/>
          <w:numId w:val="6"/>
        </w:numPr>
        <w:spacing w:line="400" w:lineRule="exact"/>
        <w:ind w:left="105" w:leftChars="50" w:right="462" w:rightChars="220" w:firstLine="482" w:firstLineChars="200"/>
        <w:rPr>
          <w:szCs w:val="21"/>
        </w:rPr>
      </w:pPr>
      <w:r>
        <w:rPr>
          <w:rFonts w:hint="eastAsia"/>
          <w:b/>
          <w:bCs/>
          <w:sz w:val="24"/>
        </w:rPr>
        <w:t>注意：在加入水样测量前应先点击开始测量进行空测，校正仪器并查看页面显示的检测值，如出现不是“0”,应重新选择项目对光路进行校准。</w:t>
      </w:r>
      <w:r>
        <w:rPr>
          <w:rFonts w:hint="eastAsia"/>
          <w:b/>
          <w:bCs/>
          <w:szCs w:val="21"/>
        </w:rPr>
        <w:t>校准完成后加入待测水样，点击测量即可进行样本测量。</w:t>
      </w:r>
    </w:p>
    <w:p>
      <w:pPr>
        <w:numPr>
          <w:ilvl w:val="0"/>
          <w:numId w:val="6"/>
        </w:numPr>
        <w:spacing w:line="400" w:lineRule="exact"/>
        <w:ind w:left="105" w:leftChars="50" w:right="462" w:rightChars="220" w:firstLine="420" w:firstLineChars="200"/>
        <w:rPr>
          <w:szCs w:val="21"/>
        </w:rPr>
      </w:pPr>
      <w:r>
        <w:rPr>
          <w:rFonts w:hint="eastAsia"/>
          <w:szCs w:val="21"/>
        </w:rPr>
        <w:t>测量界面可以实现曲线选择、浓度校正、打印、保存等相关功能。</w:t>
      </w:r>
    </w:p>
    <w:p>
      <w:pPr>
        <w:spacing w:line="400" w:lineRule="exact"/>
        <w:ind w:left="525" w:leftChars="250" w:right="462" w:rightChars="220"/>
        <w:rPr>
          <w:szCs w:val="21"/>
        </w:rPr>
      </w:pPr>
      <w:r>
        <w:rPr>
          <w:rFonts w:hint="eastAsia"/>
          <w:b/>
          <w:bCs/>
          <w:szCs w:val="21"/>
        </w:rPr>
        <w:t>3.2.1 保存：</w:t>
      </w:r>
      <w:r>
        <w:rPr>
          <w:rFonts w:hint="eastAsia"/>
          <w:szCs w:val="21"/>
        </w:rPr>
        <w:t>测量后点击保存即可将数据保存到历史数据中。保存后在历史数据中可随时查看。</w:t>
      </w:r>
    </w:p>
    <w:p>
      <w:pPr>
        <w:spacing w:line="400" w:lineRule="exact"/>
        <w:ind w:left="525" w:leftChars="250" w:right="462" w:rightChars="220"/>
        <w:rPr>
          <w:szCs w:val="21"/>
        </w:rPr>
      </w:pPr>
      <w:r>
        <w:rPr>
          <w:rFonts w:hint="eastAsia"/>
          <w:b/>
          <w:bCs/>
          <w:szCs w:val="21"/>
        </w:rPr>
        <w:t>3.2.2打印：</w:t>
      </w:r>
      <w:r>
        <w:rPr>
          <w:rFonts w:hint="eastAsia"/>
          <w:szCs w:val="21"/>
        </w:rPr>
        <w:t>本机采用微型打印机。点击打印功能即可自行进行打印所查看界面的数据，历史界面中数据也可以全部进行打印。以便客户留存历史数据。</w:t>
      </w:r>
    </w:p>
    <w:p>
      <w:pPr>
        <w:spacing w:line="400" w:lineRule="exact"/>
        <w:ind w:left="525" w:leftChars="250" w:right="462" w:rightChars="220"/>
        <w:rPr>
          <w:szCs w:val="21"/>
        </w:rPr>
      </w:pPr>
      <w:r>
        <w:rPr>
          <w:rFonts w:hint="eastAsia"/>
          <w:b/>
          <w:bCs/>
          <w:szCs w:val="21"/>
        </w:rPr>
        <w:t>3.2.3 曲线选择：</w:t>
      </w:r>
      <w:r>
        <w:rPr>
          <w:rFonts w:hint="eastAsia"/>
          <w:szCs w:val="21"/>
        </w:rPr>
        <w:t>本仪器已预存多条曲线，对于不同项目曲线值不同。不同水样的曲线也不同，在测定前应先选择确定相应的曲线值，1-5条曲线建议用户不要修改，6-10备用值可根据需求自行设定。拟合曲线用户可根据具体水样进行自行拟合。</w:t>
      </w:r>
    </w:p>
    <w:p>
      <w:pPr>
        <w:spacing w:line="360" w:lineRule="auto"/>
        <w:ind w:left="7140" w:right="462" w:rightChars="220" w:hanging="7140" w:hangingChars="3400"/>
        <w:jc w:val="left"/>
        <w:rPr>
          <w:sz w:val="24"/>
        </w:rPr>
      </w:pP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-2029460</wp:posOffset>
                </wp:positionH>
                <wp:positionV relativeFrom="paragraph">
                  <wp:posOffset>1822450</wp:posOffset>
                </wp:positionV>
                <wp:extent cx="1400175" cy="246380"/>
                <wp:effectExtent l="0" t="0" r="9525" b="1270"/>
                <wp:wrapNone/>
                <wp:docPr id="10" name="文本框 4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246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图3-6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415" o:spid="_x0000_s1026" o:spt="202" type="#_x0000_t202" style="position:absolute;left:0pt;margin-left:-159.8pt;margin-top:143.5pt;height:19.4pt;width:110.25pt;z-index:251669504;mso-width-relative:margin;mso-height-relative:margin;" fillcolor="#FFFFFF" filled="t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图3-6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247015</wp:posOffset>
            </wp:positionH>
            <wp:positionV relativeFrom="paragraph">
              <wp:posOffset>74295</wp:posOffset>
            </wp:positionV>
            <wp:extent cx="2773045" cy="1664335"/>
            <wp:effectExtent l="19050" t="0" r="8255" b="0"/>
            <wp:wrapSquare wrapText="bothSides"/>
            <wp:docPr id="401" name="图片 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" name="图片 40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3045" cy="1664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sz w:val="24"/>
        </w:rPr>
        <w:drawing>
          <wp:inline distT="0" distB="0" distL="0" distR="0">
            <wp:extent cx="2743200" cy="1647825"/>
            <wp:effectExtent l="19050" t="0" r="0" b="0"/>
            <wp:docPr id="24" name="图片 24" descr="D:\0水质相关\界面图片\两通道界面图片\COD与多参数2通道界面修改图（COD和多参数是一样的）\12_浓度校正界面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D:\0水质相关\界面图片\两通道界面图片\COD与多参数2通道界面修改图（COD和多参数是一样的）\12_浓度校正界面.bmp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   </w:t>
      </w:r>
      <w:r>
        <w:rPr>
          <w:rFonts w:hint="eastAsia"/>
          <w:sz w:val="24"/>
        </w:rPr>
        <w:t xml:space="preserve">       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 </w:t>
      </w:r>
      <w:r>
        <w:rPr>
          <w:sz w:val="24"/>
        </w:rPr>
        <w:t xml:space="preserve">                   </w:t>
      </w:r>
      <w:r>
        <w:rPr>
          <w:rFonts w:hint="eastAsia"/>
          <w:sz w:val="24"/>
        </w:rPr>
        <w:t xml:space="preserve">     </w:t>
      </w:r>
      <w:r>
        <w:rPr>
          <w:sz w:val="24"/>
        </w:rPr>
        <w:t>图3-</w:t>
      </w:r>
      <w:r>
        <w:rPr>
          <w:rFonts w:hint="eastAsia"/>
          <w:sz w:val="24"/>
        </w:rPr>
        <w:t>7</w:t>
      </w:r>
      <w:r>
        <w:rPr>
          <w:sz w:val="24"/>
        </w:rPr>
        <w:t xml:space="preserve">   </w:t>
      </w:r>
    </w:p>
    <w:p>
      <w:pPr>
        <w:spacing w:line="540" w:lineRule="exact"/>
        <w:ind w:left="105" w:leftChars="50" w:right="462" w:rightChars="220" w:firstLine="207" w:firstLineChars="98"/>
        <w:rPr>
          <w:rFonts w:hint="eastAsia"/>
          <w:szCs w:val="21"/>
        </w:rPr>
      </w:pPr>
      <w:r>
        <w:rPr>
          <w:rFonts w:hint="eastAsia"/>
          <w:b/>
          <w:bCs/>
          <w:szCs w:val="21"/>
        </w:rPr>
        <w:t>3.2.4 浓度校正：</w:t>
      </w:r>
      <w:r>
        <w:rPr>
          <w:rFonts w:hint="eastAsia"/>
          <w:szCs w:val="21"/>
        </w:rPr>
        <w:t>仪器归零后，将标准液放入检测孔，点空白，用标准浓度的标准样品放入仪器检测位，输入已知浓度值，确认，曲线值会对应出现变化，当前值即为定标后的曲线值（图3-7）。</w:t>
      </w:r>
    </w:p>
    <w:p>
      <w:pPr>
        <w:pStyle w:val="3"/>
        <w:rPr>
          <w:rFonts w:hint="eastAsia" w:ascii="Times New Roman" w:hAnsi="Times New Roman"/>
        </w:rPr>
      </w:pPr>
      <w:bookmarkStart w:id="109" w:name="_Toc517943625"/>
      <w:r>
        <w:rPr>
          <w:rFonts w:ascii="Times New Roman" w:hAnsi="Times New Roman"/>
        </w:rPr>
        <w:t>3.</w:t>
      </w:r>
      <w:r>
        <w:rPr>
          <w:rFonts w:hint="eastAsia" w:ascii="Times New Roman" w:hAnsi="Times New Roman"/>
        </w:rPr>
        <w:t>3 历史</w:t>
      </w:r>
      <w:r>
        <w:rPr>
          <w:rFonts w:hint="eastAsia" w:ascii="Times New Roman" w:hAnsi="Times New Roman"/>
          <w:b w:val="0"/>
          <w:bCs w:val="0"/>
          <w:sz w:val="21"/>
          <w:szCs w:val="24"/>
        </w:rPr>
        <w:t>：</w:t>
      </w:r>
      <w:bookmarkEnd w:id="109"/>
    </w:p>
    <w:p>
      <w:pPr>
        <w:spacing w:line="540" w:lineRule="exact"/>
        <w:ind w:left="105" w:leftChars="50" w:right="462" w:rightChars="220" w:firstLine="420" w:firstLineChars="200"/>
        <w:rPr>
          <w:bCs/>
          <w:sz w:val="24"/>
        </w:rPr>
      </w:pPr>
      <w:r>
        <w:rPr>
          <w:rFonts w:hint="eastAsia"/>
          <w:bCs/>
        </w:rPr>
        <w:t>历史数据为已经测试过并保存的数据，通过日期可查看相应的检测结果。并可对历史数据进行上传、打印、删除等操作（图3-8）。</w:t>
      </w:r>
    </w:p>
    <w:p>
      <w:pPr>
        <w:spacing w:line="540" w:lineRule="exact"/>
        <w:ind w:left="105" w:leftChars="50" w:right="462" w:rightChars="220" w:firstLine="1890" w:firstLineChars="900"/>
        <w:jc w:val="left"/>
        <w:rPr>
          <w:rFonts w:hint="eastAsia"/>
        </w:rPr>
      </w:pPr>
      <w:r>
        <w:rPr>
          <w:rFonts w:hint="eastAsia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90170</wp:posOffset>
            </wp:positionH>
            <wp:positionV relativeFrom="paragraph">
              <wp:posOffset>106680</wp:posOffset>
            </wp:positionV>
            <wp:extent cx="2894330" cy="1724025"/>
            <wp:effectExtent l="19050" t="0" r="1270" b="0"/>
            <wp:wrapNone/>
            <wp:docPr id="404" name="图片 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图片 404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433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3376295</wp:posOffset>
            </wp:positionH>
            <wp:positionV relativeFrom="paragraph">
              <wp:posOffset>70485</wp:posOffset>
            </wp:positionV>
            <wp:extent cx="2908935" cy="1733550"/>
            <wp:effectExtent l="19050" t="0" r="5715" b="0"/>
            <wp:wrapNone/>
            <wp:docPr id="405" name="图片 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图片 405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0893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spacing w:line="540" w:lineRule="exact"/>
        <w:ind w:left="105" w:leftChars="50" w:right="462" w:rightChars="220" w:firstLine="1890" w:firstLineChars="900"/>
        <w:jc w:val="left"/>
        <w:rPr>
          <w:rFonts w:hint="eastAsia"/>
        </w:rPr>
      </w:pPr>
    </w:p>
    <w:p>
      <w:pPr>
        <w:spacing w:line="540" w:lineRule="exact"/>
        <w:ind w:left="105" w:leftChars="50" w:right="462" w:rightChars="220" w:firstLine="1890" w:firstLineChars="900"/>
        <w:jc w:val="left"/>
        <w:rPr>
          <w:rFonts w:hint="eastAsia"/>
        </w:rPr>
      </w:pPr>
    </w:p>
    <w:p>
      <w:pPr>
        <w:spacing w:line="540" w:lineRule="exact"/>
        <w:ind w:left="105" w:leftChars="50" w:right="462" w:rightChars="220" w:firstLine="1890" w:firstLineChars="900"/>
        <w:jc w:val="left"/>
        <w:rPr>
          <w:rFonts w:hint="eastAsia"/>
        </w:rPr>
      </w:pPr>
    </w:p>
    <w:p>
      <w:pPr>
        <w:spacing w:line="540" w:lineRule="exact"/>
        <w:ind w:left="105" w:leftChars="50" w:right="462" w:rightChars="220" w:firstLine="1890" w:firstLineChars="900"/>
        <w:jc w:val="left"/>
        <w:rPr>
          <w:rFonts w:hint="eastAsia"/>
        </w:rPr>
      </w:pPr>
    </w:p>
    <w:p>
      <w:pPr>
        <w:spacing w:line="540" w:lineRule="exact"/>
        <w:ind w:left="105" w:leftChars="50" w:right="462" w:rightChars="220" w:firstLine="1890" w:firstLineChars="900"/>
        <w:jc w:val="left"/>
        <w:rPr>
          <w:rFonts w:hint="eastAsia"/>
          <w:color w:val="FF0000"/>
        </w:rPr>
      </w:pPr>
      <w:r>
        <w:rPr>
          <w:rFonts w:hint="eastAsia"/>
        </w:rPr>
        <w:t xml:space="preserve">图3-8                                                 图3-9 </w:t>
      </w:r>
    </w:p>
    <w:p>
      <w:pPr>
        <w:pStyle w:val="3"/>
        <w:rPr>
          <w:rFonts w:ascii="Times New Roman" w:hAnsi="Times New Roman"/>
        </w:rPr>
      </w:pPr>
      <w:bookmarkStart w:id="110" w:name="_Toc517943626"/>
      <w:r>
        <w:rPr>
          <w:rFonts w:ascii="Times New Roman" w:hAnsi="Times New Roman"/>
        </w:rPr>
        <w:t>3.</w:t>
      </w:r>
      <w:r>
        <w:rPr>
          <w:rFonts w:hint="eastAsia" w:ascii="Times New Roman" w:hAnsi="Times New Roman"/>
        </w:rPr>
        <w:t>4 分析</w:t>
      </w:r>
      <w:r>
        <w:rPr>
          <w:rFonts w:hint="eastAsia" w:ascii="Times New Roman" w:hAnsi="Times New Roman"/>
          <w:b w:val="0"/>
          <w:bCs w:val="0"/>
          <w:sz w:val="21"/>
          <w:szCs w:val="24"/>
        </w:rPr>
        <w:t>：</w:t>
      </w:r>
      <w:bookmarkEnd w:id="110"/>
    </w:p>
    <w:p>
      <w:pPr>
        <w:spacing w:line="540" w:lineRule="exact"/>
        <w:ind w:left="105" w:leftChars="50" w:right="462" w:rightChars="220"/>
      </w:pPr>
      <w:r>
        <w:rPr>
          <w:rFonts w:hint="eastAsia"/>
        </w:rPr>
        <w:t>点击分析件进入数据分析（如图3-9）。点击“起始编号”输入需要的数据编号，点击“末位编号”输入需要的数据编号，本仪器可输入多个分析数据。按确认键自动完成数据绘图分析。X轴为浓度值，Y轴为数据编号。</w:t>
      </w:r>
    </w:p>
    <w:p>
      <w:pPr>
        <w:pStyle w:val="3"/>
        <w:rPr>
          <w:rFonts w:ascii="Times New Roman" w:hAnsi="Times New Roman"/>
        </w:rPr>
      </w:pPr>
      <w:bookmarkStart w:id="111" w:name="_Toc517943627"/>
      <w:r>
        <w:rPr>
          <w:rFonts w:ascii="Times New Roman" w:hAnsi="Times New Roman"/>
        </w:rPr>
        <w:t>3.</w:t>
      </w:r>
      <w:r>
        <w:rPr>
          <w:rFonts w:hint="eastAsia" w:ascii="Times New Roman" w:hAnsi="Times New Roman"/>
        </w:rPr>
        <w:t>5 设置</w:t>
      </w:r>
      <w:r>
        <w:rPr>
          <w:rFonts w:hint="eastAsia" w:ascii="Times New Roman" w:hAnsi="Times New Roman"/>
          <w:b w:val="0"/>
          <w:bCs w:val="0"/>
          <w:sz w:val="21"/>
          <w:szCs w:val="24"/>
        </w:rPr>
        <w:t>：</w:t>
      </w:r>
      <w:bookmarkEnd w:id="111"/>
    </w:p>
    <w:p>
      <w:pPr>
        <w:spacing w:line="540" w:lineRule="exact"/>
        <w:ind w:left="105" w:leftChars="50" w:right="462" w:rightChars="220"/>
      </w:pPr>
      <w:r>
        <w:rPr>
          <w:rFonts w:hint="eastAsia"/>
        </w:rPr>
        <w:t>初始菜单中点击设置键进入仪器设置界面（图3-10）。</w:t>
      </w:r>
    </w:p>
    <w:p>
      <w:pPr>
        <w:spacing w:line="540" w:lineRule="exact"/>
        <w:ind w:left="105" w:leftChars="50" w:right="462" w:rightChars="220"/>
      </w:pPr>
      <w:r>
        <w:rPr>
          <w:rFonts w:hint="eastAsia"/>
        </w:rPr>
        <w:t>1）、</w:t>
      </w:r>
      <w:r>
        <w:rPr>
          <w:rFonts w:hint="eastAsia"/>
          <w:b/>
          <w:bCs/>
        </w:rPr>
        <w:t>恢复出厂参数：</w:t>
      </w:r>
      <w:r>
        <w:rPr>
          <w:rFonts w:hint="eastAsia"/>
        </w:rPr>
        <w:t>可在设置界面进行恢复出厂设置的最初数据。</w:t>
      </w:r>
    </w:p>
    <w:p>
      <w:pPr>
        <w:spacing w:line="540" w:lineRule="exact"/>
        <w:ind w:left="105" w:leftChars="50" w:right="462" w:rightChars="220"/>
      </w:pPr>
      <w:r>
        <w:rPr>
          <w:rFonts w:hint="eastAsia"/>
        </w:rPr>
        <w:t>2）、</w:t>
      </w:r>
      <w:r>
        <w:rPr>
          <w:rFonts w:hint="eastAsia"/>
          <w:b/>
          <w:bCs/>
        </w:rPr>
        <w:t>光路校准：</w:t>
      </w:r>
      <w:r>
        <w:rPr>
          <w:rFonts w:hint="eastAsia"/>
        </w:rPr>
        <w:t>如检测中出现空白有数值、检测数值与已知数值出现偏差时，可通过点击“光路校准”项目对仪器光路重新校正，已保证检测的准确性。在光路校准过程中保证检测通道内无水样。</w:t>
      </w:r>
    </w:p>
    <w:p>
      <w:pPr>
        <w:spacing w:line="540" w:lineRule="exact"/>
        <w:ind w:left="105" w:leftChars="50" w:right="462" w:rightChars="220"/>
      </w:pPr>
      <w:r>
        <w:rPr>
          <w:rFonts w:hint="eastAsia"/>
          <w:b/>
          <w:bCs/>
        </w:rPr>
        <w:t>3）、系统时间：</w:t>
      </w:r>
      <w:r>
        <w:rPr>
          <w:rFonts w:hint="eastAsia"/>
        </w:rPr>
        <w:t>点击“系统时间</w:t>
      </w:r>
      <w:r>
        <w:rPr>
          <w:rFonts w:hint="eastAsia"/>
          <w:b/>
          <w:bCs/>
        </w:rPr>
        <w:t>”</w:t>
      </w:r>
      <w:r>
        <w:rPr>
          <w:rFonts w:hint="eastAsia"/>
        </w:rPr>
        <w:t>模块，在出现的时间上直接点击即可进行对当前时间的校准。</w:t>
      </w:r>
    </w:p>
    <w:p>
      <w:pPr>
        <w:spacing w:line="540" w:lineRule="exact"/>
        <w:ind w:left="105" w:leftChars="50" w:right="462" w:rightChars="220"/>
      </w:pPr>
      <w:r>
        <w:rPr>
          <w:rFonts w:hint="eastAsia"/>
        </w:rPr>
        <w:t>4）、英文界面：本机为中英文双界面系统，点击英文界面在出现的切换“英文界面”中点击确定即进入英文界面。满足不同的客户需求。</w:t>
      </w:r>
    </w:p>
    <w:p>
      <w:pPr>
        <w:spacing w:line="540" w:lineRule="exact"/>
        <w:ind w:right="462" w:rightChars="220"/>
        <w:jc w:val="left"/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-1957705</wp:posOffset>
                </wp:positionH>
                <wp:positionV relativeFrom="paragraph">
                  <wp:posOffset>1816100</wp:posOffset>
                </wp:positionV>
                <wp:extent cx="1069340" cy="255270"/>
                <wp:effectExtent l="0" t="0" r="16510" b="11430"/>
                <wp:wrapNone/>
                <wp:docPr id="9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9340" cy="255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图3-10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154.15pt;margin-top:143pt;height:20.1pt;width:84.2pt;z-index:251668480;mso-width-relative:margin;mso-height-relative:margin;" fillcolor="#FFFFFF" filled="t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图3-10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3131185</wp:posOffset>
            </wp:positionH>
            <wp:positionV relativeFrom="paragraph">
              <wp:posOffset>26035</wp:posOffset>
            </wp:positionV>
            <wp:extent cx="2756535" cy="1672590"/>
            <wp:effectExtent l="19050" t="0" r="5715" b="0"/>
            <wp:wrapSquare wrapText="bothSides"/>
            <wp:docPr id="408" name="图片 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图片 408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56535" cy="1672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100965</wp:posOffset>
            </wp:positionH>
            <wp:positionV relativeFrom="paragraph">
              <wp:posOffset>26035</wp:posOffset>
            </wp:positionV>
            <wp:extent cx="2841625" cy="1697990"/>
            <wp:effectExtent l="19050" t="0" r="0" b="0"/>
            <wp:wrapSquare wrapText="bothSides"/>
            <wp:docPr id="407" name="图片 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图片 407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1625" cy="1697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               图3-11</w:t>
      </w:r>
    </w:p>
    <w:p>
      <w:pPr>
        <w:pStyle w:val="3"/>
        <w:rPr>
          <w:rFonts w:hint="eastAsia" w:ascii="Times New Roman" w:hAnsi="Times New Roman"/>
        </w:rPr>
      </w:pPr>
      <w:bookmarkStart w:id="112" w:name="_Toc517943628"/>
      <w:r>
        <w:rPr>
          <w:rFonts w:ascii="Times New Roman" w:hAnsi="Times New Roman"/>
        </w:rPr>
        <w:t>3.</w:t>
      </w:r>
      <w:r>
        <w:rPr>
          <w:rFonts w:hint="eastAsia" w:ascii="Times New Roman" w:hAnsi="Times New Roman"/>
        </w:rPr>
        <w:t>6 帮助</w:t>
      </w:r>
      <w:r>
        <w:rPr>
          <w:rFonts w:hint="eastAsia" w:ascii="Times New Roman" w:hAnsi="Times New Roman"/>
          <w:b w:val="0"/>
          <w:bCs w:val="0"/>
          <w:sz w:val="21"/>
          <w:szCs w:val="24"/>
        </w:rPr>
        <w:t>：</w:t>
      </w:r>
      <w:bookmarkEnd w:id="112"/>
    </w:p>
    <w:p>
      <w:pPr>
        <w:spacing w:line="540" w:lineRule="exact"/>
        <w:ind w:left="105" w:leftChars="50" w:right="462" w:rightChars="220"/>
      </w:pPr>
      <w:r>
        <w:rPr>
          <w:rFonts w:hint="eastAsia"/>
          <w:sz w:val="24"/>
        </w:rPr>
        <w:t>点击“帮助”按钮客户可自行在帮助页面查找仪器的使用功能。</w:t>
      </w:r>
      <w:r>
        <w:t>　</w:t>
      </w:r>
    </w:p>
    <w:p>
      <w:pPr>
        <w:spacing w:line="400" w:lineRule="atLeast"/>
        <w:ind w:left="108" w:firstLine="287" w:firstLineChars="137"/>
      </w:pPr>
    </w:p>
    <w:p>
      <w:pPr>
        <w:pStyle w:val="2"/>
        <w:numPr>
          <w:ilvl w:val="0"/>
          <w:numId w:val="7"/>
        </w:numPr>
        <w:jc w:val="center"/>
      </w:pPr>
      <w:bookmarkStart w:id="113" w:name="_Toc484618074"/>
      <w:bookmarkStart w:id="114" w:name="_Toc27812"/>
      <w:bookmarkStart w:id="115" w:name="_Toc484445322"/>
      <w:bookmarkStart w:id="116" w:name="_Toc517943629"/>
      <w:r>
        <w:t>保养与维修</w:t>
      </w:r>
      <w:bookmarkEnd w:id="113"/>
      <w:bookmarkEnd w:id="114"/>
      <w:bookmarkEnd w:id="115"/>
      <w:bookmarkEnd w:id="116"/>
    </w:p>
    <w:p>
      <w:pPr>
        <w:pStyle w:val="3"/>
        <w:rPr>
          <w:rFonts w:ascii="Times New Roman" w:hAnsi="Times New Roman"/>
        </w:rPr>
      </w:pPr>
      <w:bookmarkStart w:id="117" w:name="_Toc4433"/>
      <w:bookmarkStart w:id="118" w:name="_Toc3384"/>
      <w:bookmarkStart w:id="119" w:name="_Toc23127"/>
      <w:bookmarkStart w:id="120" w:name="_Toc20421"/>
      <w:bookmarkStart w:id="121" w:name="_Toc30900"/>
      <w:bookmarkStart w:id="122" w:name="_Toc29794"/>
      <w:bookmarkStart w:id="123" w:name="_Toc172171625"/>
      <w:bookmarkStart w:id="124" w:name="_Toc28012"/>
      <w:bookmarkStart w:id="125" w:name="_Toc11879"/>
      <w:bookmarkStart w:id="126" w:name="_Toc173124806"/>
      <w:bookmarkStart w:id="127" w:name="_Toc517943630"/>
      <w:r>
        <w:rPr>
          <w:rFonts w:ascii="Times New Roman" w:hAnsi="Times New Roman"/>
        </w:rPr>
        <w:t>4.1仪器清洁</w:t>
      </w:r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</w:p>
    <w:p>
      <w:pPr>
        <w:spacing w:line="540" w:lineRule="atLeast"/>
        <w:ind w:firstLine="411" w:firstLineChars="196"/>
        <w:rPr>
          <w:b/>
          <w:bCs/>
          <w:szCs w:val="21"/>
        </w:rPr>
      </w:pPr>
      <w:r>
        <w:rPr>
          <w:szCs w:val="21"/>
        </w:rPr>
        <w:t>仪器的使用寿命是6年，仪器有开机自检功能，可自动提示异常故障。</w:t>
      </w:r>
    </w:p>
    <w:p>
      <w:pPr>
        <w:spacing w:line="420" w:lineRule="exact"/>
        <w:ind w:firstLine="420" w:firstLineChars="200"/>
        <w:rPr>
          <w:szCs w:val="21"/>
        </w:rPr>
      </w:pPr>
      <w:r>
        <w:rPr>
          <w:szCs w:val="21"/>
        </w:rPr>
        <w:t>本仪器在正常使用过程中，只需正常的清洁维护即可，但以下部件经长时间工作后，可能会出现失效或故障,请到指定维修点维修或请用户在专业人员指导下进行维修。为了使仪器保持一个良好的状态，必须做好日常维护工作。</w:t>
      </w:r>
    </w:p>
    <w:p>
      <w:pPr>
        <w:pStyle w:val="19"/>
        <w:spacing w:line="420" w:lineRule="exact"/>
        <w:ind w:firstLine="420"/>
        <w:rPr>
          <w:rFonts w:ascii="Times New Roman" w:hAnsi="Times New Roman"/>
          <w:b w:val="0"/>
          <w:sz w:val="21"/>
          <w:szCs w:val="21"/>
        </w:rPr>
      </w:pPr>
      <w:r>
        <w:rPr>
          <w:rFonts w:ascii="Times New Roman" w:hAnsi="Times New Roman"/>
          <w:b w:val="0"/>
          <w:sz w:val="21"/>
          <w:szCs w:val="21"/>
        </w:rPr>
        <w:t>警告：仪器的维修需要专业人员操作，在维修或其他原因拆卸外壳时必须切断电源。</w:t>
      </w:r>
    </w:p>
    <w:p>
      <w:pPr>
        <w:spacing w:line="360" w:lineRule="auto"/>
        <w:ind w:left="420" w:leftChars="200"/>
        <w:rPr>
          <w:kern w:val="0"/>
          <w:szCs w:val="21"/>
        </w:rPr>
      </w:pPr>
      <w:r>
        <w:rPr>
          <w:kern w:val="0"/>
          <w:szCs w:val="21"/>
        </w:rPr>
        <w:t>1）平常不用时，拔掉电源插头，盖好防尘罩。</w:t>
      </w:r>
    </w:p>
    <w:p>
      <w:pPr>
        <w:spacing w:line="360" w:lineRule="auto"/>
        <w:ind w:left="420" w:leftChars="200"/>
        <w:rPr>
          <w:kern w:val="0"/>
          <w:szCs w:val="21"/>
        </w:rPr>
      </w:pPr>
      <w:r>
        <w:rPr>
          <w:kern w:val="0"/>
          <w:szCs w:val="21"/>
        </w:rPr>
        <w:t>2）使用完毕</w:t>
      </w:r>
      <w:r>
        <w:rPr>
          <w:rFonts w:hint="eastAsia"/>
          <w:kern w:val="0"/>
          <w:szCs w:val="21"/>
        </w:rPr>
        <w:t>后</w:t>
      </w:r>
      <w:r>
        <w:rPr>
          <w:kern w:val="0"/>
          <w:szCs w:val="21"/>
        </w:rPr>
        <w:t>，</w:t>
      </w:r>
      <w:r>
        <w:rPr>
          <w:rFonts w:hint="eastAsia"/>
          <w:kern w:val="0"/>
          <w:szCs w:val="21"/>
        </w:rPr>
        <w:t>取下</w:t>
      </w:r>
      <w:r>
        <w:rPr>
          <w:kern w:val="0"/>
          <w:szCs w:val="21"/>
        </w:rPr>
        <w:t>测试完的</w:t>
      </w:r>
      <w:r>
        <w:rPr>
          <w:rFonts w:hint="eastAsia"/>
          <w:kern w:val="0"/>
          <w:szCs w:val="21"/>
        </w:rPr>
        <w:t>比色皿</w:t>
      </w:r>
      <w:r>
        <w:rPr>
          <w:kern w:val="0"/>
          <w:szCs w:val="21"/>
        </w:rPr>
        <w:t>，不要将</w:t>
      </w:r>
      <w:r>
        <w:rPr>
          <w:rFonts w:hint="eastAsia"/>
          <w:kern w:val="0"/>
          <w:szCs w:val="21"/>
        </w:rPr>
        <w:t>比色皿</w:t>
      </w:r>
      <w:r>
        <w:rPr>
          <w:kern w:val="0"/>
          <w:szCs w:val="21"/>
        </w:rPr>
        <w:t>留在载物台上，</w:t>
      </w:r>
      <w:r>
        <w:rPr>
          <w:rFonts w:hint="eastAsia"/>
          <w:kern w:val="0"/>
          <w:szCs w:val="21"/>
        </w:rPr>
        <w:t>。</w:t>
      </w:r>
    </w:p>
    <w:p>
      <w:pPr>
        <w:spacing w:line="360" w:lineRule="auto"/>
        <w:ind w:left="420" w:leftChars="200"/>
        <w:rPr>
          <w:kern w:val="0"/>
          <w:szCs w:val="21"/>
        </w:rPr>
      </w:pPr>
      <w:r>
        <w:rPr>
          <w:kern w:val="0"/>
          <w:szCs w:val="21"/>
        </w:rPr>
        <w:t>3）若有反应液体溅到载物台或</w:t>
      </w:r>
      <w:r>
        <w:rPr>
          <w:rFonts w:hint="eastAsia"/>
          <w:kern w:val="0"/>
          <w:szCs w:val="21"/>
        </w:rPr>
        <w:t>仪器</w:t>
      </w:r>
      <w:r>
        <w:rPr>
          <w:kern w:val="0"/>
          <w:szCs w:val="21"/>
        </w:rPr>
        <w:t>外壁，应用湿抹布及时擦去，必要时应消毒。</w:t>
      </w:r>
    </w:p>
    <w:p>
      <w:pPr>
        <w:spacing w:line="360" w:lineRule="auto"/>
        <w:ind w:left="420" w:leftChars="200"/>
        <w:rPr>
          <w:kern w:val="0"/>
          <w:szCs w:val="21"/>
        </w:rPr>
      </w:pPr>
      <w:r>
        <w:rPr>
          <w:kern w:val="0"/>
          <w:szCs w:val="21"/>
        </w:rPr>
        <w:t>4）每次使用完毕用湿抹布擦拭</w:t>
      </w:r>
      <w:r>
        <w:rPr>
          <w:rFonts w:hint="eastAsia"/>
          <w:kern w:val="0"/>
          <w:szCs w:val="21"/>
        </w:rPr>
        <w:t>仪器</w:t>
      </w:r>
      <w:r>
        <w:rPr>
          <w:kern w:val="0"/>
          <w:szCs w:val="21"/>
        </w:rPr>
        <w:t>，以保持其洁净。</w:t>
      </w:r>
    </w:p>
    <w:p>
      <w:pPr>
        <w:spacing w:line="360" w:lineRule="auto"/>
        <w:ind w:left="420" w:leftChars="200"/>
        <w:rPr>
          <w:b/>
          <w:szCs w:val="21"/>
        </w:rPr>
      </w:pPr>
      <w:r>
        <w:rPr>
          <w:b/>
          <w:kern w:val="0"/>
          <w:szCs w:val="20"/>
        </w:rPr>
        <w:t>警告：请勿让任何溶剂、油脂类、腐蚀性物质接触仪器。</w:t>
      </w:r>
    </w:p>
    <w:p>
      <w:pPr>
        <w:spacing w:line="400" w:lineRule="exact"/>
        <w:ind w:firstLine="420" w:firstLineChars="200"/>
      </w:pPr>
      <w:r>
        <w:t>以下部件经长时间工作后，可能会出现失效或故障,请到指定维修点维修或请用户在专业人员指导下进行维修。</w:t>
      </w:r>
    </w:p>
    <w:p>
      <w:pPr>
        <w:spacing w:line="400" w:lineRule="exact"/>
        <w:ind w:firstLine="420" w:firstLineChars="200"/>
      </w:pPr>
    </w:p>
    <w:p>
      <w:pPr>
        <w:pStyle w:val="3"/>
        <w:rPr>
          <w:rFonts w:ascii="Times New Roman" w:hAnsi="Times New Roman"/>
        </w:rPr>
      </w:pPr>
      <w:bookmarkStart w:id="128" w:name="_Toc173124810"/>
      <w:bookmarkStart w:id="129" w:name="_Toc24608"/>
      <w:bookmarkStart w:id="130" w:name="_Toc19646"/>
      <w:bookmarkStart w:id="131" w:name="_Toc14016"/>
      <w:bookmarkStart w:id="132" w:name="_Toc517943631"/>
      <w:bookmarkStart w:id="133" w:name="_Toc897"/>
      <w:bookmarkStart w:id="134" w:name="_Toc32518"/>
      <w:bookmarkStart w:id="135" w:name="_Toc18305"/>
      <w:bookmarkStart w:id="136" w:name="_Toc30000"/>
      <w:bookmarkStart w:id="137" w:name="_Toc13700"/>
      <w:r>
        <w:rPr>
          <w:rFonts w:ascii="Times New Roman" w:hAnsi="Times New Roman"/>
        </w:rPr>
        <w:t>4.2管</w:t>
      </w:r>
      <w:bookmarkEnd w:id="128"/>
      <w:r>
        <w:rPr>
          <w:rFonts w:ascii="Times New Roman" w:hAnsi="Times New Roman"/>
        </w:rPr>
        <w:t>状熔断体的更换</w:t>
      </w:r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</w:p>
    <w:p>
      <w:r>
        <w:t>更换熔断器请按照以下步骤进行：</w:t>
      </w:r>
    </w:p>
    <w:p>
      <w:r>
        <w:t>（1） 关闭电源开关，拔掉电源线，切断电源；</w:t>
      </w:r>
    </w:p>
    <w:p>
      <w:pPr>
        <w:ind w:left="181" w:leftChars="86" w:firstLine="210" w:firstLineChars="100"/>
        <w:rPr>
          <w:color w:val="000000"/>
        </w:rPr>
      </w:pPr>
      <w:r>
        <w:t>（2） 保险丝安装在仪器后面电源开关旁边的熔断器盒中，更换同种规格的熔断器管。规格：</w:t>
      </w:r>
      <w:r>
        <w:rPr>
          <w:color w:val="000000"/>
        </w:rPr>
        <w:t xml:space="preserve"> F2AL250V。</w:t>
      </w:r>
    </w:p>
    <w:p>
      <w:pPr>
        <w:pStyle w:val="3"/>
        <w:rPr>
          <w:rFonts w:ascii="Times New Roman" w:hAnsi="Times New Roman"/>
        </w:rPr>
      </w:pPr>
      <w:bookmarkStart w:id="138" w:name="_Toc17138"/>
      <w:bookmarkStart w:id="139" w:name="_Toc517943632"/>
      <w:r>
        <w:rPr>
          <w:rFonts w:ascii="Times New Roman" w:hAnsi="Times New Roman"/>
          <w:bCs w:val="0"/>
        </w:rPr>
        <w:t>4.3　</w:t>
      </w:r>
      <w:bookmarkEnd w:id="138"/>
      <w:r>
        <w:rPr>
          <w:rFonts w:ascii="Times New Roman" w:hAnsi="Times New Roman"/>
        </w:rPr>
        <w:t>故障与排除</w:t>
      </w:r>
      <w:bookmarkEnd w:id="139"/>
    </w:p>
    <w:tbl>
      <w:tblPr>
        <w:tblStyle w:val="23"/>
        <w:tblpPr w:leftFromText="180" w:rightFromText="180" w:vertAnchor="text" w:horzAnchor="page" w:tblpX="1392" w:tblpY="13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8"/>
        <w:gridCol w:w="3294"/>
        <w:gridCol w:w="3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ind w:firstLine="1050" w:firstLineChars="500"/>
              <w:rPr>
                <w:szCs w:val="21"/>
              </w:rPr>
            </w:pPr>
            <w:r>
              <w:rPr>
                <w:szCs w:val="21"/>
              </w:rPr>
              <w:t>现象　</w:t>
            </w:r>
          </w:p>
        </w:tc>
        <w:tc>
          <w:tcPr>
            <w:tcW w:w="3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ind w:firstLine="840" w:firstLineChars="400"/>
              <w:rPr>
                <w:szCs w:val="21"/>
              </w:rPr>
            </w:pPr>
            <w:r>
              <w:rPr>
                <w:szCs w:val="21"/>
              </w:rPr>
              <w:t>原因　</w:t>
            </w: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>解决方案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水质检测</w:t>
            </w:r>
            <w:r>
              <w:rPr>
                <w:szCs w:val="21"/>
              </w:rPr>
              <w:t>仪不能启动（液晶屏不显示）</w:t>
            </w:r>
          </w:p>
        </w:tc>
        <w:tc>
          <w:tcPr>
            <w:tcW w:w="3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rPr>
                <w:szCs w:val="21"/>
              </w:rPr>
            </w:pPr>
            <w:r>
              <w:rPr>
                <w:szCs w:val="21"/>
              </w:rPr>
              <w:t>电源不正常</w:t>
            </w: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rPr>
                <w:szCs w:val="21"/>
              </w:rPr>
            </w:pPr>
            <w:r>
              <w:rPr>
                <w:szCs w:val="21"/>
              </w:rPr>
              <w:t>检查是否通电，电源插头是否插好，保险丝是否烧断，电源开关是否正常。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>自检不正常</w:t>
            </w:r>
          </w:p>
        </w:tc>
        <w:tc>
          <w:tcPr>
            <w:tcW w:w="3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rPr>
                <w:szCs w:val="21"/>
              </w:rPr>
            </w:pPr>
            <w:r>
              <w:rPr>
                <w:szCs w:val="21"/>
              </w:rPr>
              <w:t>光系统故障、滤光片老化；波长设置错误</w:t>
            </w: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rPr>
                <w:szCs w:val="21"/>
              </w:rPr>
            </w:pPr>
            <w:r>
              <w:rPr>
                <w:szCs w:val="21"/>
              </w:rPr>
              <w:t>查看光源灯是否亮，重新设置仪器系统的波长值，更换同规格新滤光片。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rPr>
                <w:szCs w:val="21"/>
              </w:rPr>
            </w:pPr>
            <w:r>
              <w:rPr>
                <w:szCs w:val="21"/>
              </w:rPr>
              <w:t>　　检测结果不正确</w:t>
            </w:r>
          </w:p>
        </w:tc>
        <w:tc>
          <w:tcPr>
            <w:tcW w:w="3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8"/>
              </w:numPr>
              <w:spacing w:line="420" w:lineRule="exact"/>
              <w:rPr>
                <w:szCs w:val="21"/>
              </w:rPr>
            </w:pPr>
            <w:r>
              <w:rPr>
                <w:szCs w:val="21"/>
              </w:rPr>
              <w:t>光源信号太低；</w:t>
            </w:r>
          </w:p>
          <w:p>
            <w:pPr>
              <w:numPr>
                <w:ilvl w:val="0"/>
                <w:numId w:val="8"/>
              </w:numPr>
              <w:spacing w:line="420" w:lineRule="exact"/>
              <w:rPr>
                <w:szCs w:val="21"/>
              </w:rPr>
            </w:pPr>
            <w:r>
              <w:rPr>
                <w:szCs w:val="21"/>
              </w:rPr>
              <w:t>检测信号不稳定；</w:t>
            </w:r>
          </w:p>
          <w:p>
            <w:pPr>
              <w:numPr>
                <w:ilvl w:val="0"/>
                <w:numId w:val="8"/>
              </w:numPr>
              <w:spacing w:line="420" w:lineRule="exact"/>
              <w:rPr>
                <w:szCs w:val="21"/>
              </w:rPr>
            </w:pPr>
            <w:r>
              <w:rPr>
                <w:szCs w:val="21"/>
              </w:rPr>
              <w:t>试剂失效；更换试剂批次后没有重新定标；</w:t>
            </w:r>
          </w:p>
          <w:p>
            <w:pPr>
              <w:spacing w:line="420" w:lineRule="exact"/>
              <w:rPr>
                <w:szCs w:val="21"/>
              </w:rPr>
            </w:pPr>
            <w:r>
              <w:rPr>
                <w:szCs w:val="21"/>
              </w:rPr>
              <w:t>5.样本异常。</w:t>
            </w:r>
            <w:r>
              <w:rPr>
                <w:rFonts w:hint="eastAsia"/>
                <w:szCs w:val="21"/>
              </w:rPr>
              <w:t>样本浓度超出仪器检验范围。</w:t>
            </w: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rPr>
                <w:szCs w:val="21"/>
              </w:rPr>
            </w:pPr>
            <w:r>
              <w:rPr>
                <w:szCs w:val="21"/>
              </w:rPr>
              <w:t>1.及时更换新的光源灯或滤光片；</w:t>
            </w:r>
          </w:p>
          <w:p>
            <w:pPr>
              <w:spacing w:line="420" w:lineRule="exact"/>
              <w:rPr>
                <w:szCs w:val="21"/>
              </w:rPr>
            </w:pPr>
            <w:r>
              <w:rPr>
                <w:szCs w:val="21"/>
              </w:rPr>
              <w:t>2. 排除</w:t>
            </w:r>
            <w:r>
              <w:rPr>
                <w:rFonts w:hint="eastAsia"/>
                <w:szCs w:val="21"/>
              </w:rPr>
              <w:t>检测水样的</w:t>
            </w:r>
            <w:r>
              <w:rPr>
                <w:szCs w:val="21"/>
              </w:rPr>
              <w:t>干扰源；</w:t>
            </w:r>
          </w:p>
          <w:p>
            <w:pPr>
              <w:spacing w:line="420" w:lineRule="exact"/>
              <w:rPr>
                <w:szCs w:val="21"/>
              </w:rPr>
            </w:pPr>
            <w:r>
              <w:rPr>
                <w:szCs w:val="21"/>
              </w:rPr>
              <w:t>3.更换试剂并重新定标</w:t>
            </w:r>
          </w:p>
          <w:p>
            <w:pPr>
              <w:spacing w:line="420" w:lineRule="exact"/>
              <w:rPr>
                <w:szCs w:val="21"/>
              </w:rPr>
            </w:pPr>
            <w:r>
              <w:rPr>
                <w:szCs w:val="21"/>
              </w:rPr>
              <w:t>4.重新</w:t>
            </w:r>
            <w:r>
              <w:rPr>
                <w:rFonts w:hint="eastAsia"/>
                <w:szCs w:val="21"/>
              </w:rPr>
              <w:t>校准和标定。</w:t>
            </w:r>
          </w:p>
          <w:p>
            <w:pPr>
              <w:spacing w:line="4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5.对样本进行稀释或其他处理</w:t>
            </w:r>
            <w:r>
              <w:rPr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>打印机灯常闪</w:t>
            </w:r>
          </w:p>
        </w:tc>
        <w:tc>
          <w:tcPr>
            <w:tcW w:w="3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1.未装打印纸</w:t>
            </w:r>
          </w:p>
          <w:p>
            <w:pPr>
              <w:spacing w:line="4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2．</w:t>
            </w:r>
            <w:r>
              <w:rPr>
                <w:szCs w:val="21"/>
              </w:rPr>
              <w:t>打印机接收故障</w:t>
            </w:r>
            <w:r>
              <w:rPr>
                <w:rFonts w:hint="eastAsia"/>
                <w:szCs w:val="21"/>
              </w:rPr>
              <w:t>,</w:t>
            </w:r>
            <w:r>
              <w:rPr>
                <w:szCs w:val="21"/>
              </w:rPr>
              <w:t>传送数据出错</w:t>
            </w: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rPr>
                <w:szCs w:val="21"/>
              </w:rPr>
            </w:pPr>
            <w:r>
              <w:rPr>
                <w:szCs w:val="21"/>
              </w:rPr>
              <w:t>关掉打印机电源，等一会再打开；更换</w:t>
            </w:r>
            <w:r>
              <w:rPr>
                <w:rFonts w:hint="eastAsia"/>
                <w:szCs w:val="21"/>
              </w:rPr>
              <w:t>机</w:t>
            </w:r>
          </w:p>
        </w:tc>
      </w:tr>
    </w:tbl>
    <w:p>
      <w:pPr>
        <w:spacing w:line="400" w:lineRule="exact"/>
        <w:rPr>
          <w:b/>
          <w:bCs/>
          <w:sz w:val="28"/>
        </w:rPr>
      </w:pPr>
    </w:p>
    <w:p>
      <w:pPr>
        <w:pStyle w:val="2"/>
        <w:jc w:val="center"/>
      </w:pPr>
      <w:bookmarkStart w:id="140" w:name="_Toc517943633"/>
      <w:bookmarkStart w:id="141" w:name="_Toc484445325"/>
      <w:bookmarkStart w:id="142" w:name="_Toc484618077"/>
      <w:bookmarkStart w:id="143" w:name="_Toc1549"/>
      <w:bookmarkStart w:id="144" w:name="_Toc423618144"/>
      <w:bookmarkStart w:id="145" w:name="_Toc478111555"/>
      <w:r>
        <w:t>第五章</w:t>
      </w:r>
      <w:r>
        <w:rPr>
          <w:rFonts w:hint="eastAsia"/>
        </w:rPr>
        <w:t>仪器的校准标定</w:t>
      </w:r>
      <w:bookmarkEnd w:id="140"/>
    </w:p>
    <w:p>
      <w:r>
        <w:rPr>
          <w:rFonts w:hint="eastAsia"/>
          <w:b/>
          <w:bCs/>
          <w:sz w:val="24"/>
        </w:rPr>
        <w:t>5.1</w:t>
      </w:r>
      <w:r>
        <w:rPr>
          <w:rFonts w:hint="eastAsia"/>
        </w:rPr>
        <w:t>本仪器属于计量类仪器，为保证本仪器的测定结果的准确性，必要时可对仪器进行校准和标定。从而确保仪器的准确性和测量结果的真实性。</w:t>
      </w:r>
    </w:p>
    <w:p>
      <w:r>
        <w:rPr>
          <w:rFonts w:hint="eastAsia"/>
        </w:rPr>
        <w:t>5.1.1 仪器出现下列情形时需重新进行标定。</w:t>
      </w:r>
    </w:p>
    <w:p>
      <w:r>
        <w:rPr>
          <w:rFonts w:hint="eastAsia"/>
        </w:rPr>
        <w:t xml:space="preserve">   1）、当仪器在检测时检测结果超出规定范围。</w:t>
      </w:r>
    </w:p>
    <w:p>
      <w:r>
        <w:rPr>
          <w:rFonts w:hint="eastAsia"/>
        </w:rPr>
        <w:t xml:space="preserve">   2）、实验过程的人员或其他条件发生改变时。</w:t>
      </w:r>
    </w:p>
    <w:p>
      <w:r>
        <w:rPr>
          <w:rFonts w:hint="eastAsia"/>
        </w:rPr>
        <w:t xml:space="preserve">   3)、用标准溶液对仪器检验出现误差时。</w:t>
      </w:r>
    </w:p>
    <w:p>
      <w:r>
        <w:rPr>
          <w:rFonts w:hint="eastAsia"/>
        </w:rPr>
        <w:t xml:space="preserve"> 5.1.2 仪器校准和标定的方法</w:t>
      </w:r>
    </w:p>
    <w:p>
      <w:pPr>
        <w:ind w:firstLine="420"/>
      </w:pPr>
      <w:r>
        <w:rPr>
          <w:rFonts w:hint="eastAsia"/>
        </w:rPr>
        <w:t>1）、仪器校准和标定必须使用标准溶液。</w:t>
      </w:r>
    </w:p>
    <w:p>
      <w:pPr>
        <w:ind w:firstLine="420"/>
      </w:pPr>
      <w:r>
        <w:rPr>
          <w:rFonts w:hint="eastAsia"/>
        </w:rPr>
        <w:t>2）、标液必须选用国家标物中心发行的质控品或从厂家购买，如条件不允许用户可自行配置，配置应严格按照《GB11914-89水质化学需氧量的测定 重铬酸盐法》进行配置。配置过程中应尽量减少各个环节的误差。</w:t>
      </w:r>
    </w:p>
    <w:p>
      <w:pPr>
        <w:pStyle w:val="2"/>
        <w:jc w:val="center"/>
      </w:pPr>
      <w:bookmarkStart w:id="146" w:name="_Toc517943634"/>
      <w:r>
        <w:t>第</w:t>
      </w:r>
      <w:r>
        <w:rPr>
          <w:rFonts w:hint="eastAsia"/>
        </w:rPr>
        <w:t>六</w:t>
      </w:r>
      <w:r>
        <w:t>章运输与储存</w:t>
      </w:r>
      <w:bookmarkEnd w:id="141"/>
      <w:bookmarkEnd w:id="142"/>
      <w:bookmarkEnd w:id="143"/>
      <w:bookmarkEnd w:id="144"/>
      <w:bookmarkEnd w:id="145"/>
      <w:bookmarkEnd w:id="146"/>
      <w:bookmarkStart w:id="147" w:name="_Toc423618145"/>
      <w:bookmarkStart w:id="148" w:name="_Toc478111556"/>
    </w:p>
    <w:p>
      <w:pPr>
        <w:pStyle w:val="3"/>
        <w:rPr>
          <w:rFonts w:ascii="Times New Roman" w:hAnsi="Times New Roman"/>
        </w:rPr>
      </w:pPr>
      <w:bookmarkStart w:id="149" w:name="_Toc484445326"/>
      <w:bookmarkStart w:id="150" w:name="_Toc484618078"/>
      <w:bookmarkStart w:id="151" w:name="_Toc517943635"/>
      <w:bookmarkStart w:id="152" w:name="_Toc26244"/>
      <w:r>
        <w:rPr>
          <w:rFonts w:hint="eastAsia" w:ascii="Times New Roman" w:hAnsi="Times New Roman"/>
        </w:rPr>
        <w:t>6</w:t>
      </w:r>
      <w:r>
        <w:rPr>
          <w:rFonts w:ascii="Times New Roman" w:hAnsi="Times New Roman"/>
        </w:rPr>
        <w:t>.1运输</w:t>
      </w:r>
      <w:bookmarkEnd w:id="147"/>
      <w:bookmarkEnd w:id="148"/>
      <w:bookmarkEnd w:id="149"/>
      <w:bookmarkEnd w:id="150"/>
      <w:bookmarkEnd w:id="151"/>
      <w:bookmarkEnd w:id="152"/>
    </w:p>
    <w:p>
      <w:pPr>
        <w:rPr>
          <w:bCs/>
          <w:szCs w:val="21"/>
        </w:rPr>
      </w:pPr>
      <w:r>
        <w:rPr>
          <w:bCs/>
          <w:sz w:val="18"/>
          <w:szCs w:val="18"/>
        </w:rPr>
        <w:t xml:space="preserve"> </w:t>
      </w:r>
      <w:r>
        <w:rPr>
          <w:bCs/>
          <w:sz w:val="24"/>
        </w:rPr>
        <w:t xml:space="preserve">  </w:t>
      </w:r>
      <w:r>
        <w:rPr>
          <w:szCs w:val="21"/>
        </w:rPr>
        <w:t>仪器在包装完好状态下运输，</w:t>
      </w:r>
      <w:r>
        <w:rPr>
          <w:bCs/>
          <w:szCs w:val="21"/>
        </w:rPr>
        <w:t>装运本设备的运输工具应保持清洁，无污物和危险物。在运输过程中必须防止受到剧烈冲击、雨淋和暴晒。如果在车站、码头等地中转时，应堆放在库房里，不得不短期堆放时，必须用防雨、防雪苫布盖好，同时下边要用木方等垫好。</w:t>
      </w:r>
      <w:bookmarkStart w:id="153" w:name="_Toc478111557"/>
      <w:bookmarkStart w:id="154" w:name="_Toc423618146"/>
    </w:p>
    <w:p>
      <w:pPr>
        <w:pStyle w:val="3"/>
        <w:rPr>
          <w:rFonts w:ascii="Times New Roman" w:hAnsi="Times New Roman"/>
        </w:rPr>
      </w:pPr>
      <w:bookmarkStart w:id="155" w:name="_Toc484445327"/>
      <w:bookmarkStart w:id="156" w:name="_Toc517943636"/>
      <w:bookmarkStart w:id="157" w:name="_Toc17241"/>
      <w:bookmarkStart w:id="158" w:name="_Toc484618079"/>
      <w:r>
        <w:rPr>
          <w:rFonts w:hint="eastAsia" w:ascii="Times New Roman" w:hAnsi="Times New Roman"/>
        </w:rPr>
        <w:t>6</w:t>
      </w:r>
      <w:r>
        <w:rPr>
          <w:rFonts w:ascii="Times New Roman" w:hAnsi="Times New Roman"/>
        </w:rPr>
        <w:t>.2贮存</w:t>
      </w:r>
      <w:bookmarkEnd w:id="153"/>
      <w:bookmarkEnd w:id="154"/>
      <w:bookmarkEnd w:id="155"/>
      <w:bookmarkEnd w:id="156"/>
      <w:bookmarkEnd w:id="157"/>
      <w:bookmarkEnd w:id="158"/>
    </w:p>
    <w:p>
      <w:pPr>
        <w:ind w:left="180"/>
        <w:rPr>
          <w:szCs w:val="21"/>
        </w:rPr>
      </w:pPr>
      <w:r>
        <w:rPr>
          <w:bCs/>
          <w:szCs w:val="21"/>
        </w:rPr>
        <w:t>本仪器应</w:t>
      </w:r>
      <w:r>
        <w:rPr>
          <w:szCs w:val="21"/>
        </w:rPr>
        <w:t>放置在阴凉干燥、防湿通风地方，不能露天堆放，更不能将其直接堆放在泥土地面上。如短期堆放时，应严防雨雪浸入。</w:t>
      </w:r>
    </w:p>
    <w:p>
      <w:r>
        <w:rPr>
          <w:rFonts w:hint="eastAsia"/>
        </w:rPr>
        <w:t>6</w:t>
      </w:r>
      <w:r>
        <w:t>.2.1贮存运输环境条件</w:t>
      </w:r>
    </w:p>
    <w:p>
      <w:pPr>
        <w:numPr>
          <w:ilvl w:val="0"/>
          <w:numId w:val="9"/>
        </w:numPr>
        <w:rPr>
          <w:szCs w:val="21"/>
        </w:rPr>
      </w:pPr>
      <w:r>
        <w:rPr>
          <w:szCs w:val="21"/>
        </w:rPr>
        <w:t>环境温度范围：-20℃～+55℃；</w:t>
      </w:r>
    </w:p>
    <w:p>
      <w:pPr>
        <w:numPr>
          <w:ilvl w:val="0"/>
          <w:numId w:val="9"/>
        </w:numPr>
        <w:rPr>
          <w:szCs w:val="21"/>
        </w:rPr>
      </w:pPr>
      <w:r>
        <w:rPr>
          <w:szCs w:val="21"/>
        </w:rPr>
        <w:t>相对湿度范围：≤93%；</w:t>
      </w:r>
    </w:p>
    <w:p>
      <w:pPr>
        <w:numPr>
          <w:ilvl w:val="0"/>
          <w:numId w:val="9"/>
        </w:numPr>
        <w:rPr>
          <w:szCs w:val="21"/>
        </w:rPr>
      </w:pPr>
      <w:r>
        <w:rPr>
          <w:szCs w:val="21"/>
        </w:rPr>
        <w:t>无腐蚀性气体，通风良好。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pStyle w:val="2"/>
        <w:jc w:val="center"/>
      </w:pPr>
      <w:bookmarkStart w:id="159" w:name="_Toc28720"/>
      <w:bookmarkStart w:id="160" w:name="_Toc517943637"/>
      <w:r>
        <w:t>质量承诺</w:t>
      </w:r>
      <w:bookmarkEnd w:id="159"/>
      <w:bookmarkEnd w:id="160"/>
    </w:p>
    <w:p>
      <w:pPr>
        <w:rPr>
          <w:bCs/>
          <w:sz w:val="24"/>
        </w:rPr>
      </w:pPr>
    </w:p>
    <w:p>
      <w:pPr>
        <w:rPr>
          <w:bCs/>
          <w:sz w:val="24"/>
        </w:rPr>
      </w:pPr>
    </w:p>
    <w:p>
      <w:pPr>
        <w:spacing w:line="360" w:lineRule="auto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1) 在用户遵守本说明书各项规定的条件下，从发货之日起一年内，本仪器若因质量问题不能正常工作，制造单位将无偿为用户修理或更换该产品。对于违反本说明书中的规定或者用户自行拆卸导致的故障、仪器损坏，则须收取维修工本费。</w:t>
      </w:r>
      <w:r>
        <w:rPr>
          <w:rFonts w:hint="eastAsia"/>
          <w:color w:val="000000"/>
          <w:szCs w:val="21"/>
        </w:rPr>
        <w:t>保修期外</w:t>
      </w:r>
      <w:r>
        <w:rPr>
          <w:color w:val="000000"/>
          <w:szCs w:val="21"/>
        </w:rPr>
        <w:t xml:space="preserve">本公司有偿负责该仪器的终身维护。 </w:t>
      </w:r>
    </w:p>
    <w:p>
      <w:pPr>
        <w:spacing w:line="360" w:lineRule="auto"/>
        <w:ind w:firstLine="420"/>
        <w:rPr>
          <w:color w:val="000000"/>
          <w:szCs w:val="21"/>
        </w:rPr>
      </w:pPr>
      <w:r>
        <w:rPr>
          <w:color w:val="000000"/>
          <w:szCs w:val="21"/>
        </w:rPr>
        <w:t>2) 当用户有维修能力时，本公司可以按用户要求提供维修必须的技术资料。</w:t>
      </w:r>
    </w:p>
    <w:p>
      <w:pPr>
        <w:spacing w:beforeLines="50" w:afterLines="50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3）仪器的出厂日期见仪器标牌。</w:t>
      </w:r>
    </w:p>
    <w:sectPr>
      <w:footerReference r:id="rId7" w:type="first"/>
      <w:footerReference r:id="rId6" w:type="default"/>
      <w:pgSz w:w="11907" w:h="16839"/>
      <w:pgMar w:top="1202" w:right="799" w:bottom="1202" w:left="1298" w:header="851" w:footer="811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jc w:val="center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HnSk3/IAQAAmg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jc w:val="center"/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CLPoJ+yQEAAJo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singleLevel"/>
    <w:tmpl w:val="00000007"/>
    <w:lvl w:ilvl="0" w:tentative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1">
    <w:nsid w:val="0616282E"/>
    <w:multiLevelType w:val="multilevel"/>
    <w:tmpl w:val="0616282E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DEB7A47"/>
    <w:multiLevelType w:val="multilevel"/>
    <w:tmpl w:val="1DEB7A47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1D1BDAD"/>
    <w:multiLevelType w:val="singleLevel"/>
    <w:tmpl w:val="51D1BDAD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5994F401"/>
    <w:multiLevelType w:val="singleLevel"/>
    <w:tmpl w:val="5994F401"/>
    <w:lvl w:ilvl="0" w:tentative="0">
      <w:start w:val="1"/>
      <w:numFmt w:val="chineseCounting"/>
      <w:suff w:val="nothing"/>
      <w:lvlText w:val="第%1章"/>
      <w:lvlJc w:val="left"/>
    </w:lvl>
  </w:abstractNum>
  <w:abstractNum w:abstractNumId="5">
    <w:nsid w:val="5994F82A"/>
    <w:multiLevelType w:val="singleLevel"/>
    <w:tmpl w:val="5994F82A"/>
    <w:lvl w:ilvl="0" w:tentative="0">
      <w:start w:val="3"/>
      <w:numFmt w:val="chineseCounting"/>
      <w:suff w:val="nothing"/>
      <w:lvlText w:val="第%1章"/>
      <w:lvlJc w:val="left"/>
    </w:lvl>
  </w:abstractNum>
  <w:abstractNum w:abstractNumId="6">
    <w:nsid w:val="5994FEB8"/>
    <w:multiLevelType w:val="singleLevel"/>
    <w:tmpl w:val="5994FEB8"/>
    <w:lvl w:ilvl="0" w:tentative="0">
      <w:start w:val="4"/>
      <w:numFmt w:val="chineseCounting"/>
      <w:suff w:val="nothing"/>
      <w:lvlText w:val="第%1章"/>
      <w:lvlJc w:val="left"/>
    </w:lvl>
  </w:abstractNum>
  <w:abstractNum w:abstractNumId="7">
    <w:nsid w:val="59AD071B"/>
    <w:multiLevelType w:val="multilevel"/>
    <w:tmpl w:val="59AD071B"/>
    <w:lvl w:ilvl="0" w:tentative="0">
      <w:start w:val="1"/>
      <w:numFmt w:val="lowerLetter"/>
      <w:lvlText w:val="%1)"/>
      <w:lvlJc w:val="left"/>
      <w:pPr>
        <w:tabs>
          <w:tab w:val="left" w:pos="600"/>
        </w:tabs>
        <w:ind w:left="600" w:hanging="420"/>
      </w:pPr>
    </w:lvl>
    <w:lvl w:ilvl="1" w:tentative="0">
      <w:start w:val="1"/>
      <w:numFmt w:val="decimal"/>
      <w:lvlText w:val="%2、"/>
      <w:lvlJc w:val="left"/>
      <w:pPr>
        <w:tabs>
          <w:tab w:val="left" w:pos="960"/>
        </w:tabs>
        <w:ind w:left="9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</w:lvl>
  </w:abstractNum>
  <w:abstractNum w:abstractNumId="8">
    <w:nsid w:val="73E56543"/>
    <w:multiLevelType w:val="multilevel"/>
    <w:tmpl w:val="73E56543"/>
    <w:lvl w:ilvl="0" w:tentative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eastAsia" w:ascii="Times New Roman" w:hAnsi="Times New Roman"/>
        <w:color w:val="auto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8"/>
  </w:num>
  <w:num w:numId="4">
    <w:abstractNumId w:val="1"/>
  </w:num>
  <w:num w:numId="5">
    <w:abstractNumId w:val="5"/>
  </w:num>
  <w:num w:numId="6">
    <w:abstractNumId w:val="3"/>
  </w:num>
  <w:num w:numId="7">
    <w:abstractNumId w:val="6"/>
  </w:num>
  <w:num w:numId="8">
    <w:abstractNumId w:val="0"/>
    <w:lvlOverride w:ilvl="0">
      <w:startOverride w:val="1"/>
    </w:lvlOverride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writeProtection w:recommended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mZTUxNjJkYjc2MDZjNmY4ZTM3OTJjMjM0NTI2MDQifQ=="/>
  </w:docVars>
  <w:rsids>
    <w:rsidRoot w:val="003A7D72"/>
    <w:rsid w:val="00002FD8"/>
    <w:rsid w:val="00003CC4"/>
    <w:rsid w:val="000122EC"/>
    <w:rsid w:val="00024E67"/>
    <w:rsid w:val="00025974"/>
    <w:rsid w:val="00027241"/>
    <w:rsid w:val="000306EA"/>
    <w:rsid w:val="0004010B"/>
    <w:rsid w:val="00040201"/>
    <w:rsid w:val="000409DF"/>
    <w:rsid w:val="00043FCC"/>
    <w:rsid w:val="00046FE8"/>
    <w:rsid w:val="00050364"/>
    <w:rsid w:val="00052824"/>
    <w:rsid w:val="00057799"/>
    <w:rsid w:val="00057D3D"/>
    <w:rsid w:val="00061F82"/>
    <w:rsid w:val="000622FB"/>
    <w:rsid w:val="00065952"/>
    <w:rsid w:val="00067DE6"/>
    <w:rsid w:val="000750A8"/>
    <w:rsid w:val="00076A4F"/>
    <w:rsid w:val="00076D21"/>
    <w:rsid w:val="000810D1"/>
    <w:rsid w:val="00085B08"/>
    <w:rsid w:val="000A0115"/>
    <w:rsid w:val="000A4A39"/>
    <w:rsid w:val="000A6845"/>
    <w:rsid w:val="000B495A"/>
    <w:rsid w:val="000B6979"/>
    <w:rsid w:val="000B72C2"/>
    <w:rsid w:val="000B7837"/>
    <w:rsid w:val="000C10EE"/>
    <w:rsid w:val="000C16F4"/>
    <w:rsid w:val="000C76D4"/>
    <w:rsid w:val="000D55DB"/>
    <w:rsid w:val="000E1383"/>
    <w:rsid w:val="000E6898"/>
    <w:rsid w:val="000E7A27"/>
    <w:rsid w:val="00100DC7"/>
    <w:rsid w:val="00101106"/>
    <w:rsid w:val="00102169"/>
    <w:rsid w:val="00106326"/>
    <w:rsid w:val="00107344"/>
    <w:rsid w:val="001139CF"/>
    <w:rsid w:val="0011443F"/>
    <w:rsid w:val="00135B0C"/>
    <w:rsid w:val="00140FDA"/>
    <w:rsid w:val="001431BC"/>
    <w:rsid w:val="0014527D"/>
    <w:rsid w:val="0015410C"/>
    <w:rsid w:val="0015434A"/>
    <w:rsid w:val="001544B5"/>
    <w:rsid w:val="001722A3"/>
    <w:rsid w:val="00172AEB"/>
    <w:rsid w:val="001734CB"/>
    <w:rsid w:val="00176A99"/>
    <w:rsid w:val="001900D3"/>
    <w:rsid w:val="00190263"/>
    <w:rsid w:val="001A0EA0"/>
    <w:rsid w:val="001A7B5D"/>
    <w:rsid w:val="001B12BD"/>
    <w:rsid w:val="001B4FAC"/>
    <w:rsid w:val="001C0DB0"/>
    <w:rsid w:val="001C2524"/>
    <w:rsid w:val="001D0F77"/>
    <w:rsid w:val="001D6316"/>
    <w:rsid w:val="001E39E4"/>
    <w:rsid w:val="001E6541"/>
    <w:rsid w:val="001F175C"/>
    <w:rsid w:val="001F1F9A"/>
    <w:rsid w:val="001F229A"/>
    <w:rsid w:val="002016E0"/>
    <w:rsid w:val="00207385"/>
    <w:rsid w:val="0021079F"/>
    <w:rsid w:val="002136CD"/>
    <w:rsid w:val="00216420"/>
    <w:rsid w:val="00223BF9"/>
    <w:rsid w:val="0024064B"/>
    <w:rsid w:val="0024687E"/>
    <w:rsid w:val="00251554"/>
    <w:rsid w:val="00252EDB"/>
    <w:rsid w:val="00256619"/>
    <w:rsid w:val="00261ECC"/>
    <w:rsid w:val="00264390"/>
    <w:rsid w:val="0027662C"/>
    <w:rsid w:val="0028375C"/>
    <w:rsid w:val="00284118"/>
    <w:rsid w:val="00290139"/>
    <w:rsid w:val="00295F4B"/>
    <w:rsid w:val="002A01AF"/>
    <w:rsid w:val="002A7544"/>
    <w:rsid w:val="002B00DA"/>
    <w:rsid w:val="002B576F"/>
    <w:rsid w:val="002C0AB0"/>
    <w:rsid w:val="002C2841"/>
    <w:rsid w:val="002C350A"/>
    <w:rsid w:val="002C6454"/>
    <w:rsid w:val="002C6AD8"/>
    <w:rsid w:val="002D0E76"/>
    <w:rsid w:val="002D7B0F"/>
    <w:rsid w:val="002E6013"/>
    <w:rsid w:val="002E7004"/>
    <w:rsid w:val="002F54EA"/>
    <w:rsid w:val="002F6015"/>
    <w:rsid w:val="00300DB3"/>
    <w:rsid w:val="003021E2"/>
    <w:rsid w:val="003141F4"/>
    <w:rsid w:val="003201D9"/>
    <w:rsid w:val="0034756A"/>
    <w:rsid w:val="00363A9C"/>
    <w:rsid w:val="003659C1"/>
    <w:rsid w:val="00367965"/>
    <w:rsid w:val="00371452"/>
    <w:rsid w:val="003902E7"/>
    <w:rsid w:val="003967C1"/>
    <w:rsid w:val="003A09E2"/>
    <w:rsid w:val="003A260F"/>
    <w:rsid w:val="003A7D72"/>
    <w:rsid w:val="003C2D6F"/>
    <w:rsid w:val="003C41D4"/>
    <w:rsid w:val="003D34E4"/>
    <w:rsid w:val="003D3558"/>
    <w:rsid w:val="003D4223"/>
    <w:rsid w:val="003D4FAF"/>
    <w:rsid w:val="003E5461"/>
    <w:rsid w:val="003E6F83"/>
    <w:rsid w:val="003F408B"/>
    <w:rsid w:val="003F4404"/>
    <w:rsid w:val="003F4542"/>
    <w:rsid w:val="00407C78"/>
    <w:rsid w:val="00412EAC"/>
    <w:rsid w:val="00436A2D"/>
    <w:rsid w:val="004401EC"/>
    <w:rsid w:val="0044254C"/>
    <w:rsid w:val="0044404A"/>
    <w:rsid w:val="004458F5"/>
    <w:rsid w:val="00445D00"/>
    <w:rsid w:val="00454F4F"/>
    <w:rsid w:val="00462A5E"/>
    <w:rsid w:val="00491693"/>
    <w:rsid w:val="004A77EE"/>
    <w:rsid w:val="004C098D"/>
    <w:rsid w:val="004C1060"/>
    <w:rsid w:val="004D1CDD"/>
    <w:rsid w:val="004D39A1"/>
    <w:rsid w:val="004D6BD4"/>
    <w:rsid w:val="004D7B66"/>
    <w:rsid w:val="004E1464"/>
    <w:rsid w:val="00500137"/>
    <w:rsid w:val="0050173A"/>
    <w:rsid w:val="00502E7C"/>
    <w:rsid w:val="00513777"/>
    <w:rsid w:val="00514535"/>
    <w:rsid w:val="00516341"/>
    <w:rsid w:val="00516F44"/>
    <w:rsid w:val="005208D9"/>
    <w:rsid w:val="00530133"/>
    <w:rsid w:val="005325BA"/>
    <w:rsid w:val="00535537"/>
    <w:rsid w:val="005357D4"/>
    <w:rsid w:val="00553C99"/>
    <w:rsid w:val="00556513"/>
    <w:rsid w:val="005649CD"/>
    <w:rsid w:val="00572B5C"/>
    <w:rsid w:val="00577780"/>
    <w:rsid w:val="00580FAD"/>
    <w:rsid w:val="00585F24"/>
    <w:rsid w:val="005868DD"/>
    <w:rsid w:val="00590D8E"/>
    <w:rsid w:val="005929B6"/>
    <w:rsid w:val="00592EAE"/>
    <w:rsid w:val="00594269"/>
    <w:rsid w:val="00596E2B"/>
    <w:rsid w:val="005974BA"/>
    <w:rsid w:val="005A18AB"/>
    <w:rsid w:val="005A2BE0"/>
    <w:rsid w:val="005A6269"/>
    <w:rsid w:val="005A76F5"/>
    <w:rsid w:val="005B37A2"/>
    <w:rsid w:val="005C0407"/>
    <w:rsid w:val="005D1AAD"/>
    <w:rsid w:val="005E32E3"/>
    <w:rsid w:val="005F7B57"/>
    <w:rsid w:val="00611C7C"/>
    <w:rsid w:val="00612D7F"/>
    <w:rsid w:val="006133F7"/>
    <w:rsid w:val="00624F07"/>
    <w:rsid w:val="00627B54"/>
    <w:rsid w:val="006318A1"/>
    <w:rsid w:val="00635743"/>
    <w:rsid w:val="00641955"/>
    <w:rsid w:val="006444C7"/>
    <w:rsid w:val="0065196B"/>
    <w:rsid w:val="00651A0D"/>
    <w:rsid w:val="006535F6"/>
    <w:rsid w:val="00666CD8"/>
    <w:rsid w:val="00677893"/>
    <w:rsid w:val="006821E2"/>
    <w:rsid w:val="006841FE"/>
    <w:rsid w:val="00695130"/>
    <w:rsid w:val="006A00F6"/>
    <w:rsid w:val="006A19D0"/>
    <w:rsid w:val="006C7041"/>
    <w:rsid w:val="006D13BD"/>
    <w:rsid w:val="006D179B"/>
    <w:rsid w:val="006D6BB3"/>
    <w:rsid w:val="006D74B0"/>
    <w:rsid w:val="006E1EDB"/>
    <w:rsid w:val="006E43F3"/>
    <w:rsid w:val="006F3766"/>
    <w:rsid w:val="00700FBE"/>
    <w:rsid w:val="00704C2D"/>
    <w:rsid w:val="00705663"/>
    <w:rsid w:val="00712A46"/>
    <w:rsid w:val="00723810"/>
    <w:rsid w:val="007303CC"/>
    <w:rsid w:val="00732295"/>
    <w:rsid w:val="00732E50"/>
    <w:rsid w:val="00752A19"/>
    <w:rsid w:val="007549D7"/>
    <w:rsid w:val="00754DBB"/>
    <w:rsid w:val="00755C03"/>
    <w:rsid w:val="00766F75"/>
    <w:rsid w:val="00782540"/>
    <w:rsid w:val="00783F16"/>
    <w:rsid w:val="00786A2E"/>
    <w:rsid w:val="007919B7"/>
    <w:rsid w:val="007B27E1"/>
    <w:rsid w:val="007B54DE"/>
    <w:rsid w:val="007C09DF"/>
    <w:rsid w:val="007C1585"/>
    <w:rsid w:val="007C60E0"/>
    <w:rsid w:val="007C7923"/>
    <w:rsid w:val="007D1F53"/>
    <w:rsid w:val="007D5925"/>
    <w:rsid w:val="007E0268"/>
    <w:rsid w:val="007E38EE"/>
    <w:rsid w:val="007E6447"/>
    <w:rsid w:val="007F1B6B"/>
    <w:rsid w:val="00803F04"/>
    <w:rsid w:val="00806262"/>
    <w:rsid w:val="0081198D"/>
    <w:rsid w:val="00821442"/>
    <w:rsid w:val="00826D2C"/>
    <w:rsid w:val="00831032"/>
    <w:rsid w:val="00842848"/>
    <w:rsid w:val="00843E52"/>
    <w:rsid w:val="008468C8"/>
    <w:rsid w:val="00860C23"/>
    <w:rsid w:val="00860CDF"/>
    <w:rsid w:val="00863772"/>
    <w:rsid w:val="0086438A"/>
    <w:rsid w:val="008644C8"/>
    <w:rsid w:val="008837DD"/>
    <w:rsid w:val="0088425B"/>
    <w:rsid w:val="00884D13"/>
    <w:rsid w:val="00892729"/>
    <w:rsid w:val="008932BB"/>
    <w:rsid w:val="008A67CD"/>
    <w:rsid w:val="008A73EE"/>
    <w:rsid w:val="008B522E"/>
    <w:rsid w:val="008B7A6A"/>
    <w:rsid w:val="008C67B7"/>
    <w:rsid w:val="008C7434"/>
    <w:rsid w:val="008D2488"/>
    <w:rsid w:val="008D4F68"/>
    <w:rsid w:val="008D7979"/>
    <w:rsid w:val="008E26B5"/>
    <w:rsid w:val="008F0FAF"/>
    <w:rsid w:val="008F29AB"/>
    <w:rsid w:val="00903442"/>
    <w:rsid w:val="009059A4"/>
    <w:rsid w:val="00915FF1"/>
    <w:rsid w:val="00927B3F"/>
    <w:rsid w:val="009301E1"/>
    <w:rsid w:val="00936157"/>
    <w:rsid w:val="009403A5"/>
    <w:rsid w:val="00945A12"/>
    <w:rsid w:val="0095009F"/>
    <w:rsid w:val="0095157D"/>
    <w:rsid w:val="009612EB"/>
    <w:rsid w:val="00964FA5"/>
    <w:rsid w:val="009668BD"/>
    <w:rsid w:val="00970388"/>
    <w:rsid w:val="009717F8"/>
    <w:rsid w:val="0097276B"/>
    <w:rsid w:val="00976F96"/>
    <w:rsid w:val="00980A8C"/>
    <w:rsid w:val="00992DC7"/>
    <w:rsid w:val="009A020B"/>
    <w:rsid w:val="009A02C6"/>
    <w:rsid w:val="009B339D"/>
    <w:rsid w:val="009B35F1"/>
    <w:rsid w:val="009B405A"/>
    <w:rsid w:val="009C2D7A"/>
    <w:rsid w:val="009C531F"/>
    <w:rsid w:val="009C54A4"/>
    <w:rsid w:val="009C68DD"/>
    <w:rsid w:val="009C7DEB"/>
    <w:rsid w:val="009D1C78"/>
    <w:rsid w:val="009D5713"/>
    <w:rsid w:val="009E713F"/>
    <w:rsid w:val="009E75AF"/>
    <w:rsid w:val="009F49F4"/>
    <w:rsid w:val="009F7224"/>
    <w:rsid w:val="00A00A7E"/>
    <w:rsid w:val="00A028CE"/>
    <w:rsid w:val="00A06B4B"/>
    <w:rsid w:val="00A13888"/>
    <w:rsid w:val="00A13AA4"/>
    <w:rsid w:val="00A13EE6"/>
    <w:rsid w:val="00A17FC3"/>
    <w:rsid w:val="00A23492"/>
    <w:rsid w:val="00A33801"/>
    <w:rsid w:val="00A3392A"/>
    <w:rsid w:val="00A35741"/>
    <w:rsid w:val="00A36F43"/>
    <w:rsid w:val="00A4174B"/>
    <w:rsid w:val="00A464AA"/>
    <w:rsid w:val="00A50B3A"/>
    <w:rsid w:val="00A6073A"/>
    <w:rsid w:val="00A63AB4"/>
    <w:rsid w:val="00A71909"/>
    <w:rsid w:val="00A75C6B"/>
    <w:rsid w:val="00A77B09"/>
    <w:rsid w:val="00A77CA1"/>
    <w:rsid w:val="00A77D7A"/>
    <w:rsid w:val="00A84796"/>
    <w:rsid w:val="00A85758"/>
    <w:rsid w:val="00A87BED"/>
    <w:rsid w:val="00A91139"/>
    <w:rsid w:val="00AA3B4C"/>
    <w:rsid w:val="00AA7A69"/>
    <w:rsid w:val="00AC137A"/>
    <w:rsid w:val="00AD7227"/>
    <w:rsid w:val="00AE0A78"/>
    <w:rsid w:val="00AE272A"/>
    <w:rsid w:val="00AE6927"/>
    <w:rsid w:val="00AF21DC"/>
    <w:rsid w:val="00AF2E74"/>
    <w:rsid w:val="00AF30CE"/>
    <w:rsid w:val="00AF3DEE"/>
    <w:rsid w:val="00B0104B"/>
    <w:rsid w:val="00B1296B"/>
    <w:rsid w:val="00B141A6"/>
    <w:rsid w:val="00B15635"/>
    <w:rsid w:val="00B240D5"/>
    <w:rsid w:val="00B2693E"/>
    <w:rsid w:val="00B2795C"/>
    <w:rsid w:val="00B41AE7"/>
    <w:rsid w:val="00B420B3"/>
    <w:rsid w:val="00B42F74"/>
    <w:rsid w:val="00B43A98"/>
    <w:rsid w:val="00B567D4"/>
    <w:rsid w:val="00B57629"/>
    <w:rsid w:val="00B6050E"/>
    <w:rsid w:val="00B67C6B"/>
    <w:rsid w:val="00B747B6"/>
    <w:rsid w:val="00B75478"/>
    <w:rsid w:val="00B80800"/>
    <w:rsid w:val="00B82142"/>
    <w:rsid w:val="00B93E1B"/>
    <w:rsid w:val="00B94806"/>
    <w:rsid w:val="00BA3666"/>
    <w:rsid w:val="00BA5E57"/>
    <w:rsid w:val="00BB3B79"/>
    <w:rsid w:val="00BB3FDE"/>
    <w:rsid w:val="00BB63E1"/>
    <w:rsid w:val="00BC26C5"/>
    <w:rsid w:val="00BC32FA"/>
    <w:rsid w:val="00BC3A10"/>
    <w:rsid w:val="00BD000F"/>
    <w:rsid w:val="00BE3653"/>
    <w:rsid w:val="00BE4A33"/>
    <w:rsid w:val="00BF69D4"/>
    <w:rsid w:val="00C000B8"/>
    <w:rsid w:val="00C07136"/>
    <w:rsid w:val="00C10A04"/>
    <w:rsid w:val="00C13583"/>
    <w:rsid w:val="00C20363"/>
    <w:rsid w:val="00C213D1"/>
    <w:rsid w:val="00C21822"/>
    <w:rsid w:val="00C2517E"/>
    <w:rsid w:val="00C263F0"/>
    <w:rsid w:val="00C30B8F"/>
    <w:rsid w:val="00C30EBA"/>
    <w:rsid w:val="00C509A6"/>
    <w:rsid w:val="00C52EA0"/>
    <w:rsid w:val="00C62D4C"/>
    <w:rsid w:val="00C6309E"/>
    <w:rsid w:val="00C70F9A"/>
    <w:rsid w:val="00C83A5B"/>
    <w:rsid w:val="00C8690A"/>
    <w:rsid w:val="00CA2FA5"/>
    <w:rsid w:val="00CA44ED"/>
    <w:rsid w:val="00CA6570"/>
    <w:rsid w:val="00CA6D9E"/>
    <w:rsid w:val="00CB0E27"/>
    <w:rsid w:val="00CB2230"/>
    <w:rsid w:val="00CB2BB0"/>
    <w:rsid w:val="00CB2C46"/>
    <w:rsid w:val="00CB7F2E"/>
    <w:rsid w:val="00CB7FFD"/>
    <w:rsid w:val="00CC29D8"/>
    <w:rsid w:val="00CC2E49"/>
    <w:rsid w:val="00CC4380"/>
    <w:rsid w:val="00CE1530"/>
    <w:rsid w:val="00CE3800"/>
    <w:rsid w:val="00CE50B5"/>
    <w:rsid w:val="00CE6C48"/>
    <w:rsid w:val="00CF2381"/>
    <w:rsid w:val="00CF7678"/>
    <w:rsid w:val="00D02ADA"/>
    <w:rsid w:val="00D16CEF"/>
    <w:rsid w:val="00D17C42"/>
    <w:rsid w:val="00D20058"/>
    <w:rsid w:val="00D229B4"/>
    <w:rsid w:val="00D32FAD"/>
    <w:rsid w:val="00D36D26"/>
    <w:rsid w:val="00D3754C"/>
    <w:rsid w:val="00D406DD"/>
    <w:rsid w:val="00D41D5B"/>
    <w:rsid w:val="00D428A3"/>
    <w:rsid w:val="00D506AB"/>
    <w:rsid w:val="00D50E27"/>
    <w:rsid w:val="00D753F6"/>
    <w:rsid w:val="00D81951"/>
    <w:rsid w:val="00D81E84"/>
    <w:rsid w:val="00D827B1"/>
    <w:rsid w:val="00D85009"/>
    <w:rsid w:val="00D9316A"/>
    <w:rsid w:val="00DA1ACD"/>
    <w:rsid w:val="00DA4C8F"/>
    <w:rsid w:val="00DA56E1"/>
    <w:rsid w:val="00DA67F1"/>
    <w:rsid w:val="00DA6911"/>
    <w:rsid w:val="00DB19AD"/>
    <w:rsid w:val="00DD79E8"/>
    <w:rsid w:val="00DE1806"/>
    <w:rsid w:val="00DE4D19"/>
    <w:rsid w:val="00DE7405"/>
    <w:rsid w:val="00DF6400"/>
    <w:rsid w:val="00E0158F"/>
    <w:rsid w:val="00E0512F"/>
    <w:rsid w:val="00E065B0"/>
    <w:rsid w:val="00E10185"/>
    <w:rsid w:val="00E108CE"/>
    <w:rsid w:val="00E13A6F"/>
    <w:rsid w:val="00E23E93"/>
    <w:rsid w:val="00E25E3A"/>
    <w:rsid w:val="00E33BCC"/>
    <w:rsid w:val="00E42EDB"/>
    <w:rsid w:val="00E45595"/>
    <w:rsid w:val="00E47BA1"/>
    <w:rsid w:val="00E52A28"/>
    <w:rsid w:val="00E52C6E"/>
    <w:rsid w:val="00E64506"/>
    <w:rsid w:val="00E64849"/>
    <w:rsid w:val="00E704BA"/>
    <w:rsid w:val="00E8479F"/>
    <w:rsid w:val="00E85CE4"/>
    <w:rsid w:val="00E86651"/>
    <w:rsid w:val="00E94F9F"/>
    <w:rsid w:val="00EA3B2C"/>
    <w:rsid w:val="00EA500F"/>
    <w:rsid w:val="00EB1EA1"/>
    <w:rsid w:val="00EB265D"/>
    <w:rsid w:val="00EB5FF3"/>
    <w:rsid w:val="00EB672D"/>
    <w:rsid w:val="00EC23EB"/>
    <w:rsid w:val="00EC30C6"/>
    <w:rsid w:val="00EC53D0"/>
    <w:rsid w:val="00EC5E8E"/>
    <w:rsid w:val="00ED247C"/>
    <w:rsid w:val="00EE5C78"/>
    <w:rsid w:val="00EF12E2"/>
    <w:rsid w:val="00EF1381"/>
    <w:rsid w:val="00EF4032"/>
    <w:rsid w:val="00F04FEE"/>
    <w:rsid w:val="00F06A74"/>
    <w:rsid w:val="00F20334"/>
    <w:rsid w:val="00F24084"/>
    <w:rsid w:val="00F323FC"/>
    <w:rsid w:val="00F34762"/>
    <w:rsid w:val="00F35308"/>
    <w:rsid w:val="00F3584F"/>
    <w:rsid w:val="00F35BB6"/>
    <w:rsid w:val="00F415FA"/>
    <w:rsid w:val="00F561C0"/>
    <w:rsid w:val="00F67549"/>
    <w:rsid w:val="00F820F0"/>
    <w:rsid w:val="00F930AE"/>
    <w:rsid w:val="00F937F7"/>
    <w:rsid w:val="00FA1548"/>
    <w:rsid w:val="00FB1D85"/>
    <w:rsid w:val="00FB26BD"/>
    <w:rsid w:val="00FC16EE"/>
    <w:rsid w:val="00FC59A0"/>
    <w:rsid w:val="00FD3D06"/>
    <w:rsid w:val="00FE12AE"/>
    <w:rsid w:val="00FF1125"/>
    <w:rsid w:val="00FF5018"/>
    <w:rsid w:val="022C70D3"/>
    <w:rsid w:val="0809114B"/>
    <w:rsid w:val="0F662669"/>
    <w:rsid w:val="10D35417"/>
    <w:rsid w:val="1A781284"/>
    <w:rsid w:val="1D5848D1"/>
    <w:rsid w:val="21E840CC"/>
    <w:rsid w:val="266D246B"/>
    <w:rsid w:val="2E5C7048"/>
    <w:rsid w:val="30091B66"/>
    <w:rsid w:val="35185CBE"/>
    <w:rsid w:val="365C0641"/>
    <w:rsid w:val="3F265408"/>
    <w:rsid w:val="42EA7DEB"/>
    <w:rsid w:val="435A3283"/>
    <w:rsid w:val="45324DBE"/>
    <w:rsid w:val="4952768B"/>
    <w:rsid w:val="4F7745FA"/>
    <w:rsid w:val="50DC3FF4"/>
    <w:rsid w:val="5D8B30B5"/>
    <w:rsid w:val="66632761"/>
    <w:rsid w:val="770B7A06"/>
    <w:rsid w:val="778B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416" w:lineRule="auto"/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7"/>
    <w:qFormat/>
    <w:uiPriority w:val="0"/>
    <w:pPr>
      <w:keepNext/>
      <w:keepLines/>
      <w:spacing w:line="360" w:lineRule="auto"/>
      <w:jc w:val="left"/>
      <w:outlineLvl w:val="1"/>
    </w:pPr>
    <w:rPr>
      <w:rFonts w:ascii="Arial" w:hAnsi="Arial"/>
      <w:b/>
      <w:bCs/>
      <w:sz w:val="24"/>
      <w:szCs w:val="32"/>
    </w:rPr>
  </w:style>
  <w:style w:type="character" w:default="1" w:styleId="24">
    <w:name w:val="Default Paragraph Font"/>
    <w:semiHidden/>
    <w:unhideWhenUsed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qFormat/>
    <w:uiPriority w:val="0"/>
    <w:pPr>
      <w:ind w:left="2520" w:leftChars="1200"/>
    </w:pPr>
  </w:style>
  <w:style w:type="paragraph" w:styleId="5">
    <w:name w:val="annotation text"/>
    <w:basedOn w:val="1"/>
    <w:uiPriority w:val="0"/>
    <w:pPr>
      <w:jc w:val="left"/>
    </w:pPr>
  </w:style>
  <w:style w:type="paragraph" w:styleId="6">
    <w:name w:val="Body Text"/>
    <w:basedOn w:val="1"/>
    <w:qFormat/>
    <w:uiPriority w:val="0"/>
    <w:rPr>
      <w:sz w:val="24"/>
    </w:rPr>
  </w:style>
  <w:style w:type="paragraph" w:styleId="7">
    <w:name w:val="Body Text Indent"/>
    <w:basedOn w:val="1"/>
    <w:qFormat/>
    <w:uiPriority w:val="0"/>
    <w:pPr>
      <w:spacing w:line="360" w:lineRule="atLeast"/>
      <w:ind w:firstLine="480" w:firstLineChars="200"/>
    </w:pPr>
    <w:rPr>
      <w:rFonts w:ascii="宋体" w:hAnsi="宋体"/>
      <w:sz w:val="24"/>
    </w:rPr>
  </w:style>
  <w:style w:type="paragraph" w:styleId="8">
    <w:name w:val="toc 5"/>
    <w:basedOn w:val="1"/>
    <w:next w:val="1"/>
    <w:qFormat/>
    <w:uiPriority w:val="0"/>
    <w:pPr>
      <w:ind w:left="1680" w:leftChars="800"/>
    </w:pPr>
  </w:style>
  <w:style w:type="paragraph" w:styleId="9">
    <w:name w:val="toc 3"/>
    <w:basedOn w:val="1"/>
    <w:next w:val="1"/>
    <w:uiPriority w:val="0"/>
    <w:pPr>
      <w:ind w:left="840" w:leftChars="400"/>
    </w:pPr>
  </w:style>
  <w:style w:type="paragraph" w:styleId="10">
    <w:name w:val="toc 8"/>
    <w:basedOn w:val="1"/>
    <w:next w:val="1"/>
    <w:uiPriority w:val="0"/>
    <w:pPr>
      <w:ind w:left="2940" w:leftChars="1400"/>
    </w:pPr>
  </w:style>
  <w:style w:type="paragraph" w:styleId="11">
    <w:name w:val="Date"/>
    <w:basedOn w:val="1"/>
    <w:next w:val="1"/>
    <w:uiPriority w:val="0"/>
    <w:pPr>
      <w:ind w:left="100" w:leftChars="2500"/>
    </w:pPr>
    <w:rPr>
      <w:rFonts w:ascii="宋体" w:hAnsi="宋体"/>
      <w:sz w:val="24"/>
    </w:rPr>
  </w:style>
  <w:style w:type="paragraph" w:styleId="12">
    <w:name w:val="Body Text Indent 2"/>
    <w:basedOn w:val="1"/>
    <w:uiPriority w:val="0"/>
    <w:pPr>
      <w:spacing w:line="540" w:lineRule="atLeast"/>
      <w:ind w:left="254" w:leftChars="121" w:firstLine="269" w:firstLineChars="112"/>
    </w:pPr>
    <w:rPr>
      <w:rFonts w:ascii="宋体" w:hAnsi="宋体"/>
      <w:sz w:val="24"/>
    </w:rPr>
  </w:style>
  <w:style w:type="paragraph" w:styleId="13">
    <w:name w:val="Balloon Text"/>
    <w:basedOn w:val="1"/>
    <w:semiHidden/>
    <w:uiPriority w:val="0"/>
    <w:rPr>
      <w:sz w:val="18"/>
      <w:szCs w:val="18"/>
    </w:rPr>
  </w:style>
  <w:style w:type="paragraph" w:styleId="1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qFormat/>
    <w:uiPriority w:val="39"/>
  </w:style>
  <w:style w:type="paragraph" w:styleId="17">
    <w:name w:val="toc 4"/>
    <w:basedOn w:val="1"/>
    <w:next w:val="1"/>
    <w:uiPriority w:val="0"/>
    <w:pPr>
      <w:ind w:left="1260" w:leftChars="600"/>
    </w:pPr>
  </w:style>
  <w:style w:type="paragraph" w:styleId="18">
    <w:name w:val="toc 6"/>
    <w:basedOn w:val="1"/>
    <w:next w:val="1"/>
    <w:qFormat/>
    <w:uiPriority w:val="0"/>
    <w:pPr>
      <w:ind w:left="2100" w:leftChars="1000"/>
    </w:pPr>
  </w:style>
  <w:style w:type="paragraph" w:styleId="19">
    <w:name w:val="Body Text Indent 3"/>
    <w:basedOn w:val="1"/>
    <w:uiPriority w:val="0"/>
    <w:pPr>
      <w:spacing w:line="560" w:lineRule="atLeast"/>
      <w:ind w:firstLine="482" w:firstLineChars="200"/>
    </w:pPr>
    <w:rPr>
      <w:rFonts w:ascii="宋体" w:hAnsi="宋体"/>
      <w:b/>
      <w:bCs/>
      <w:sz w:val="24"/>
    </w:rPr>
  </w:style>
  <w:style w:type="paragraph" w:styleId="20">
    <w:name w:val="toc 2"/>
    <w:basedOn w:val="1"/>
    <w:next w:val="1"/>
    <w:uiPriority w:val="39"/>
    <w:pPr>
      <w:ind w:left="420" w:leftChars="200"/>
    </w:pPr>
  </w:style>
  <w:style w:type="paragraph" w:styleId="21">
    <w:name w:val="toc 9"/>
    <w:basedOn w:val="1"/>
    <w:next w:val="1"/>
    <w:qFormat/>
    <w:uiPriority w:val="0"/>
    <w:pPr>
      <w:ind w:left="3360" w:leftChars="1600"/>
    </w:pPr>
  </w:style>
  <w:style w:type="paragraph" w:styleId="22">
    <w:name w:val="Body Text 2"/>
    <w:basedOn w:val="1"/>
    <w:uiPriority w:val="0"/>
    <w:pPr>
      <w:spacing w:line="540" w:lineRule="atLeast"/>
    </w:pPr>
    <w:rPr>
      <w:sz w:val="28"/>
    </w:rPr>
  </w:style>
  <w:style w:type="character" w:styleId="25">
    <w:name w:val="page number"/>
    <w:basedOn w:val="24"/>
    <w:uiPriority w:val="0"/>
  </w:style>
  <w:style w:type="character" w:styleId="26">
    <w:name w:val="Hyperlink"/>
    <w:uiPriority w:val="99"/>
    <w:rPr>
      <w:color w:val="0000FF"/>
      <w:u w:val="single"/>
    </w:rPr>
  </w:style>
  <w:style w:type="character" w:customStyle="1" w:styleId="27">
    <w:name w:val="标题 2 Char"/>
    <w:link w:val="3"/>
    <w:qFormat/>
    <w:uiPriority w:val="0"/>
    <w:rPr>
      <w:rFonts w:ascii="Arial" w:hAnsi="Arial" w:eastAsia="宋体"/>
      <w:b/>
      <w:bCs/>
      <w:kern w:val="2"/>
      <w:sz w:val="24"/>
      <w:szCs w:val="32"/>
    </w:rPr>
  </w:style>
  <w:style w:type="paragraph" w:customStyle="1" w:styleId="28">
    <w:name w:val="_Style 12"/>
    <w:basedOn w:val="1"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29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30">
    <w:name w:val="一级条标题"/>
    <w:basedOn w:val="1"/>
    <w:next w:val="1"/>
    <w:qFormat/>
    <w:uiPriority w:val="0"/>
    <w:pPr>
      <w:widowControl/>
      <w:tabs>
        <w:tab w:val="left" w:pos="720"/>
      </w:tabs>
      <w:ind w:left="720" w:hanging="720"/>
      <w:outlineLvl w:val="2"/>
    </w:pPr>
    <w:rPr>
      <w:rFonts w:ascii="黑体" w:eastAsia="黑体"/>
      <w:kern w:val="0"/>
      <w:szCs w:val="20"/>
    </w:rPr>
  </w:style>
  <w:style w:type="paragraph" w:styleId="31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32">
    <w:name w:val="_Style 2"/>
    <w:basedOn w:val="2"/>
    <w:next w:val="1"/>
    <w:qFormat/>
    <w:uiPriority w:val="39"/>
    <w:pPr>
      <w:widowControl/>
      <w:spacing w:before="480" w:line="276" w:lineRule="auto"/>
      <w:jc w:val="left"/>
      <w:outlineLvl w:val="9"/>
    </w:pPr>
    <w:rPr>
      <w:rFonts w:ascii="Cambria" w:hAnsi="Cambria"/>
      <w:color w:val="365F91"/>
      <w:kern w:val="0"/>
      <w:szCs w:val="28"/>
    </w:rPr>
  </w:style>
  <w:style w:type="paragraph" w:customStyle="1" w:styleId="33">
    <w:name w:val="Char Char"/>
    <w:basedOn w:val="1"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emf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0" Type="http://schemas.openxmlformats.org/officeDocument/2006/relationships/fontTable" Target="fontTable.xml"/><Relationship Id="rId3" Type="http://schemas.openxmlformats.org/officeDocument/2006/relationships/header" Target="header1.xml"/><Relationship Id="rId29" Type="http://schemas.openxmlformats.org/officeDocument/2006/relationships/customXml" Target="../customXml/item2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emf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emf"/><Relationship Id="rId10" Type="http://schemas.openxmlformats.org/officeDocument/2006/relationships/image" Target="media/image2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B9936C-073F-454C-BB89-40187EF64E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6243</Words>
  <Characters>6919</Characters>
  <Lines>73</Lines>
  <Paragraphs>20</Paragraphs>
  <TotalTime>15</TotalTime>
  <ScaleCrop>false</ScaleCrop>
  <LinksUpToDate>false</LinksUpToDate>
  <CharactersWithSpaces>7243</CharactersWithSpaces>
  <Application>WPS Office_11.1.0.12302_F1E327BC-269C-435d-A152-05C5408002CA</Application>
  <DocSecurity>2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2018-06-28T02:05:00Z</dcterms:created>
  <dc:creator>周阳</dc:creator>
  <dc:description>avr酶标仪说明书</dc:description>
  <cp:lastModifiedBy>华沃智创水质检测仪-陈洁红</cp:lastModifiedBy>
  <cp:lastPrinted>2018-06-28T02:04:00Z</cp:lastPrinted>
  <dcterms:modified xsi:type="dcterms:W3CDTF">2022-08-26T07:54:53Z</dcterms:modified>
  <dc:title>说明书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15E2964D07064EFEA49BA9942E98F8FB</vt:lpwstr>
  </property>
</Properties>
</file>